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Действующий</w:t>
      </w:r>
    </w:p>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ПРАВИТЕЛЬСТВО РОССИЙСКОЙ ФЕДЕРАЦИИ</w:t>
      </w:r>
    </w:p>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РАСПОРЯЖЕНИЕ</w:t>
      </w:r>
    </w:p>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 27 октября 2012 года N 1995-р</w:t>
      </w:r>
    </w:p>
    <w:p w:rsidR="00795C01" w:rsidRDefault="00795C01" w:rsidP="00261615">
      <w:pPr>
        <w:spacing w:after="0" w:line="240" w:lineRule="auto"/>
        <w:ind w:firstLine="709"/>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 утверждении Концепции федеральной целевой программы "Повышение безопасности дорожного движения в 2013-2020 годах"]</w:t>
      </w:r>
    </w:p>
    <w:p w:rsidR="0002654D" w:rsidRPr="00092CA2" w:rsidRDefault="0002654D" w:rsidP="00261615">
      <w:pPr>
        <w:spacing w:after="0" w:line="240" w:lineRule="auto"/>
        <w:ind w:firstLine="709"/>
        <w:jc w:val="center"/>
        <w:rPr>
          <w:rFonts w:ascii="Times New Roman" w:eastAsia="Times New Roman" w:hAnsi="Times New Roman" w:cs="Times New Roman"/>
          <w:sz w:val="24"/>
          <w:szCs w:val="24"/>
          <w:lang w:eastAsia="ru-RU"/>
        </w:rPr>
      </w:pP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 Утвердить прилагаемую Концепцию федеральной целевой программы "Повышение безопасности дорожного движения в 2013-2020 годах".</w:t>
      </w:r>
    </w:p>
    <w:p w:rsidR="0002654D"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 Определить:</w:t>
      </w:r>
      <w:r w:rsidR="0002654D">
        <w:rPr>
          <w:rFonts w:ascii="Times New Roman" w:eastAsia="Times New Roman" w:hAnsi="Times New Roman" w:cs="Times New Roman"/>
          <w:sz w:val="24"/>
          <w:szCs w:val="24"/>
          <w:lang w:eastAsia="ru-RU"/>
        </w:rPr>
        <w:t xml:space="preserve"> </w:t>
      </w:r>
    </w:p>
    <w:p w:rsidR="0002654D"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 заказчиком - координатором федеральной целевой программы "Повышение безопасности дорожного движения в 2013-2020 годах" (далее - Программа) - МВД России;</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государственными заказчиками Программы - МВД России, МЧС России, Минздрав России, </w:t>
      </w:r>
      <w:proofErr w:type="spellStart"/>
      <w:r w:rsidRPr="00092CA2">
        <w:rPr>
          <w:rFonts w:ascii="Times New Roman" w:eastAsia="Times New Roman" w:hAnsi="Times New Roman" w:cs="Times New Roman"/>
          <w:sz w:val="24"/>
          <w:szCs w:val="24"/>
          <w:lang w:eastAsia="ru-RU"/>
        </w:rPr>
        <w:t>Минобрнауки</w:t>
      </w:r>
      <w:proofErr w:type="spellEnd"/>
      <w:r w:rsidRPr="00092CA2">
        <w:rPr>
          <w:rFonts w:ascii="Times New Roman" w:eastAsia="Times New Roman" w:hAnsi="Times New Roman" w:cs="Times New Roman"/>
          <w:sz w:val="24"/>
          <w:szCs w:val="24"/>
          <w:lang w:eastAsia="ru-RU"/>
        </w:rPr>
        <w:t xml:space="preserve"> России, </w:t>
      </w:r>
      <w:proofErr w:type="spellStart"/>
      <w:r w:rsidRPr="00092CA2">
        <w:rPr>
          <w:rFonts w:ascii="Times New Roman" w:eastAsia="Times New Roman" w:hAnsi="Times New Roman" w:cs="Times New Roman"/>
          <w:sz w:val="24"/>
          <w:szCs w:val="24"/>
          <w:lang w:eastAsia="ru-RU"/>
        </w:rPr>
        <w:t>Минпромторг</w:t>
      </w:r>
      <w:proofErr w:type="spellEnd"/>
      <w:r w:rsidRPr="00092CA2">
        <w:rPr>
          <w:rFonts w:ascii="Times New Roman" w:eastAsia="Times New Roman" w:hAnsi="Times New Roman" w:cs="Times New Roman"/>
          <w:sz w:val="24"/>
          <w:szCs w:val="24"/>
          <w:lang w:eastAsia="ru-RU"/>
        </w:rPr>
        <w:t xml:space="preserve"> России, Минтранс России и </w:t>
      </w:r>
      <w:proofErr w:type="spellStart"/>
      <w:r w:rsidRPr="00092CA2">
        <w:rPr>
          <w:rFonts w:ascii="Times New Roman" w:eastAsia="Times New Roman" w:hAnsi="Times New Roman" w:cs="Times New Roman"/>
          <w:sz w:val="24"/>
          <w:szCs w:val="24"/>
          <w:lang w:eastAsia="ru-RU"/>
        </w:rPr>
        <w:t>Росавтодор</w:t>
      </w:r>
      <w:proofErr w:type="spellEnd"/>
      <w:r w:rsidRPr="00092CA2">
        <w:rPr>
          <w:rFonts w:ascii="Times New Roman" w:eastAsia="Times New Roman" w:hAnsi="Times New Roman" w:cs="Times New Roman"/>
          <w:sz w:val="24"/>
          <w:szCs w:val="24"/>
          <w:lang w:eastAsia="ru-RU"/>
        </w:rPr>
        <w:t>.</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 Установить, что предельный (прогнозный) объем финансирования Программы за счет средств федерального бюджета составляет 48700 млн. рублей.</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 МВД России обеспечить разработку проекта Программы и внесение его в установленном порядке в Правительство Российской Федерации.</w:t>
      </w:r>
    </w:p>
    <w:p w:rsidR="00795C01" w:rsidRPr="00092CA2" w:rsidRDefault="00795C01" w:rsidP="00261615">
      <w:pPr>
        <w:spacing w:after="0" w:line="240" w:lineRule="auto"/>
        <w:ind w:firstLine="709"/>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Председатель Правительства</w:t>
      </w:r>
      <w:r w:rsidRPr="00092CA2">
        <w:rPr>
          <w:rFonts w:ascii="Times New Roman" w:eastAsia="Times New Roman" w:hAnsi="Times New Roman" w:cs="Times New Roman"/>
          <w:sz w:val="24"/>
          <w:szCs w:val="24"/>
          <w:lang w:eastAsia="ru-RU"/>
        </w:rPr>
        <w:br/>
        <w:t>Российской Федерации</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Д.Медведев</w:t>
      </w:r>
      <w:proofErr w:type="spellEnd"/>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sectPr w:rsidR="0002654D">
          <w:pgSz w:w="11906" w:h="16838"/>
          <w:pgMar w:top="1134" w:right="850" w:bottom="1134" w:left="1701" w:header="708" w:footer="708" w:gutter="0"/>
          <w:cols w:space="708"/>
          <w:docGrid w:linePitch="360"/>
        </w:sectPr>
      </w:pPr>
    </w:p>
    <w:p w:rsidR="00795C01" w:rsidRDefault="00795C01"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02654D" w:rsidRDefault="0002654D" w:rsidP="00261615">
      <w:pPr>
        <w:spacing w:after="0" w:line="240" w:lineRule="auto"/>
        <w:outlineLvl w:val="1"/>
        <w:rPr>
          <w:rFonts w:ascii="Times New Roman" w:eastAsia="Times New Roman" w:hAnsi="Times New Roman" w:cs="Times New Roman"/>
          <w:b/>
          <w:bCs/>
          <w:sz w:val="24"/>
          <w:szCs w:val="24"/>
          <w:lang w:eastAsia="ru-RU"/>
        </w:rPr>
      </w:pPr>
    </w:p>
    <w:p w:rsidR="00795C01" w:rsidRDefault="00795C01" w:rsidP="00261615">
      <w:pPr>
        <w:spacing w:after="0" w:line="240" w:lineRule="auto"/>
        <w:outlineLvl w:val="1"/>
        <w:rPr>
          <w:rFonts w:ascii="Times New Roman" w:eastAsia="Times New Roman" w:hAnsi="Times New Roman" w:cs="Times New Roman"/>
          <w:b/>
          <w:bCs/>
          <w:sz w:val="24"/>
          <w:szCs w:val="24"/>
          <w:lang w:eastAsia="ru-RU"/>
        </w:rPr>
      </w:pPr>
    </w:p>
    <w:p w:rsidR="00795C01" w:rsidRPr="00092CA2" w:rsidRDefault="00795C01" w:rsidP="00261615">
      <w:pPr>
        <w:spacing w:after="0" w:line="240" w:lineRule="auto"/>
        <w:jc w:val="center"/>
        <w:outlineLvl w:val="1"/>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lastRenderedPageBreak/>
        <w:t>КОНЦЕПЦИЯ ФЕДЕРАЛЬНОЙ ЦЕЛЕВОЙ ПРОГРАММЫ "ПОВЫШЕНИЕ БЕЗОПАСНОСТИ ДОРОЖНОГО ДВИЖЕНИЯ В 2013-2020 ГОДАХ"</w:t>
      </w:r>
    </w:p>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УТВЕРЖДЕНА</w:t>
      </w:r>
      <w:r w:rsidRPr="00092CA2">
        <w:rPr>
          <w:rFonts w:ascii="Times New Roman" w:eastAsia="Times New Roman" w:hAnsi="Times New Roman" w:cs="Times New Roman"/>
          <w:sz w:val="24"/>
          <w:szCs w:val="24"/>
          <w:lang w:eastAsia="ru-RU"/>
        </w:rPr>
        <w:br/>
        <w:t>распоряжением Правительства</w:t>
      </w:r>
      <w:r w:rsidRPr="00092CA2">
        <w:rPr>
          <w:rFonts w:ascii="Times New Roman" w:eastAsia="Times New Roman" w:hAnsi="Times New Roman" w:cs="Times New Roman"/>
          <w:sz w:val="24"/>
          <w:szCs w:val="24"/>
          <w:lang w:eastAsia="ru-RU"/>
        </w:rPr>
        <w:br/>
        <w:t>Российской Федерации</w:t>
      </w:r>
      <w:r w:rsidRPr="00092CA2">
        <w:rPr>
          <w:rFonts w:ascii="Times New Roman" w:eastAsia="Times New Roman" w:hAnsi="Times New Roman" w:cs="Times New Roman"/>
          <w:sz w:val="24"/>
          <w:szCs w:val="24"/>
          <w:lang w:eastAsia="ru-RU"/>
        </w:rPr>
        <w:br/>
        <w:t>от 27 октября 2012 года N 1995-р</w:t>
      </w:r>
    </w:p>
    <w:p w:rsidR="0002654D" w:rsidRPr="0002654D" w:rsidRDefault="00795C01" w:rsidP="00261615">
      <w:pPr>
        <w:spacing w:after="0" w:line="240" w:lineRule="auto"/>
        <w:jc w:val="center"/>
        <w:rPr>
          <w:rFonts w:ascii="Times New Roman" w:hAnsi="Times New Roman" w:cs="Times New Roman"/>
          <w:b/>
          <w:sz w:val="24"/>
          <w:szCs w:val="24"/>
          <w:lang w:eastAsia="ru-RU"/>
        </w:rPr>
      </w:pPr>
      <w:r w:rsidRPr="0002654D">
        <w:rPr>
          <w:rFonts w:ascii="Times New Roman" w:hAnsi="Times New Roman" w:cs="Times New Roman"/>
          <w:b/>
          <w:sz w:val="24"/>
          <w:szCs w:val="24"/>
          <w:lang w:eastAsia="ru-RU"/>
        </w:rPr>
        <w:t>Обоснование соответствия решаемой проблемы и целей</w:t>
      </w:r>
    </w:p>
    <w:p w:rsidR="0002654D" w:rsidRDefault="00795C01" w:rsidP="00261615">
      <w:pPr>
        <w:spacing w:after="0" w:line="240" w:lineRule="auto"/>
        <w:jc w:val="center"/>
        <w:rPr>
          <w:rFonts w:ascii="Times New Roman" w:hAnsi="Times New Roman" w:cs="Times New Roman"/>
          <w:b/>
          <w:sz w:val="24"/>
          <w:szCs w:val="24"/>
          <w:lang w:eastAsia="ru-RU"/>
        </w:rPr>
      </w:pPr>
      <w:r w:rsidRPr="0002654D">
        <w:rPr>
          <w:rFonts w:ascii="Times New Roman" w:hAnsi="Times New Roman" w:cs="Times New Roman"/>
          <w:b/>
          <w:sz w:val="24"/>
          <w:szCs w:val="24"/>
          <w:lang w:eastAsia="ru-RU"/>
        </w:rPr>
        <w:t xml:space="preserve">Программы приоритетным задачам социально-экономического развития </w:t>
      </w:r>
    </w:p>
    <w:p w:rsidR="00795C01" w:rsidRPr="0002654D" w:rsidRDefault="00795C01" w:rsidP="00261615">
      <w:pPr>
        <w:spacing w:after="0" w:line="240" w:lineRule="auto"/>
        <w:jc w:val="center"/>
        <w:rPr>
          <w:rFonts w:ascii="Times New Roman" w:hAnsi="Times New Roman" w:cs="Times New Roman"/>
          <w:b/>
          <w:sz w:val="24"/>
          <w:szCs w:val="24"/>
          <w:lang w:eastAsia="ru-RU"/>
        </w:rPr>
      </w:pPr>
      <w:r w:rsidRPr="0002654D">
        <w:rPr>
          <w:rFonts w:ascii="Times New Roman" w:hAnsi="Times New Roman" w:cs="Times New Roman"/>
          <w:b/>
          <w:sz w:val="24"/>
          <w:szCs w:val="24"/>
          <w:lang w:eastAsia="ru-RU"/>
        </w:rPr>
        <w:t>Российской Федерации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r w:rsidRPr="00092CA2">
        <w:rPr>
          <w:rFonts w:ascii="Times New Roman" w:eastAsia="Times New Roman" w:hAnsi="Times New Roman" w:cs="Times New Roman"/>
          <w:sz w:val="24"/>
          <w:szCs w:val="24"/>
          <w:lang w:eastAsia="ru-RU"/>
        </w:rPr>
        <w:br/>
        <w:t>Ежегодно в Российской Федерации в результате дорожно-транспортных происшествий погибают и получают ранения свыше 270 тыс. человек. На дорогах за последние 7 лет погибло 7900 детей в возрасте до 16 лет, были травмированы 166020 детей. Демографический ущерб от дорожно-транспортных происшествий и их последствий за 2004-2010 годы составил 506246 человек, что в 2,3 раза больше, чем, например, численность российского населения, занятого в сельском хозяйстве.</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Размер социально-экономического ущерба от дорожно-транспортных происшествий и их последствий за 2004-2010 годы оценивается в 7326,3 млрд. рублей, что можно сопоставить с расходами консолидированного бюджета Российской Федерации в 2011 году на финансирование социальной политики (7453,3 млрд. рублей). Несмотря на то, что в 2010 году социально-экономический ущерб от дорожно-транспортных происшествий и их последствий снизился до уровня в 867,7 млрд. рублей, тем не менее его годовой размер все равно существенен и примерно равен расходам консолидированного бюджета Российской Федерации в 2011 году на денежное довольствие военнослужащих и сотрудников правоохранительных органов (837,8 млрд. рублей) или двукратным доходам от использования в 2010 году имущества, находящегося в государственной и муниципальной собственности (424,8 млрд. рублей).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Решение проблемы обеспечения безопасности на дорогах России Президент Российской Федерации в своем Послании Федеральному Собранию Российской Федерации на 2010 год назвал одной из актуальных задач развития страны.</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Целями государственной демографической политики, установленными </w:t>
      </w:r>
      <w:hyperlink r:id="rId6" w:history="1">
        <w:r w:rsidRPr="00092CA2">
          <w:rPr>
            <w:rFonts w:ascii="Times New Roman" w:eastAsia="Times New Roman" w:hAnsi="Times New Roman" w:cs="Times New Roman"/>
            <w:color w:val="0000FF"/>
            <w:sz w:val="24"/>
            <w:szCs w:val="24"/>
            <w:u w:val="single"/>
            <w:lang w:eastAsia="ru-RU"/>
          </w:rPr>
          <w:t>Концепцией долгосрочного социально-экономического развития Российской Федерации на период до 2020 года</w:t>
        </w:r>
      </w:hyperlink>
      <w:r w:rsidRPr="00092CA2">
        <w:rPr>
          <w:rFonts w:ascii="Times New Roman" w:eastAsia="Times New Roman" w:hAnsi="Times New Roman" w:cs="Times New Roman"/>
          <w:sz w:val="24"/>
          <w:szCs w:val="24"/>
          <w:lang w:eastAsia="ru-RU"/>
        </w:rPr>
        <w:t xml:space="preserve">, утвержденной </w:t>
      </w:r>
      <w:hyperlink r:id="rId7"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17 ноября 2008 г. N 1662-р</w:t>
        </w:r>
      </w:hyperlink>
      <w:r w:rsidRPr="00092CA2">
        <w:rPr>
          <w:rFonts w:ascii="Times New Roman" w:eastAsia="Times New Roman" w:hAnsi="Times New Roman" w:cs="Times New Roman"/>
          <w:sz w:val="24"/>
          <w:szCs w:val="24"/>
          <w:lang w:eastAsia="ru-RU"/>
        </w:rPr>
        <w:t>, являются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Одним из главных направлений демографической политики в соответствии с </w:t>
      </w:r>
      <w:hyperlink r:id="rId8" w:history="1">
        <w:r w:rsidRPr="00092CA2">
          <w:rPr>
            <w:rFonts w:ascii="Times New Roman" w:eastAsia="Times New Roman" w:hAnsi="Times New Roman" w:cs="Times New Roman"/>
            <w:color w:val="0000FF"/>
            <w:sz w:val="24"/>
            <w:szCs w:val="24"/>
            <w:u w:val="single"/>
            <w:lang w:eastAsia="ru-RU"/>
          </w:rPr>
          <w:t>Концепцией демографической политики Российской Федерации на период до 2025 года</w:t>
        </w:r>
      </w:hyperlink>
      <w:r w:rsidRPr="00092CA2">
        <w:rPr>
          <w:rFonts w:ascii="Times New Roman" w:eastAsia="Times New Roman" w:hAnsi="Times New Roman" w:cs="Times New Roman"/>
          <w:sz w:val="24"/>
          <w:szCs w:val="24"/>
          <w:lang w:eastAsia="ru-RU"/>
        </w:rPr>
        <w:t xml:space="preserve">, утвержденной </w:t>
      </w:r>
      <w:hyperlink r:id="rId9" w:history="1">
        <w:r w:rsidRPr="00092CA2">
          <w:rPr>
            <w:rFonts w:ascii="Times New Roman" w:eastAsia="Times New Roman" w:hAnsi="Times New Roman" w:cs="Times New Roman"/>
            <w:color w:val="0000FF"/>
            <w:sz w:val="24"/>
            <w:szCs w:val="24"/>
            <w:u w:val="single"/>
            <w:lang w:eastAsia="ru-RU"/>
          </w:rPr>
          <w:t>Указом Президента Российской Федерации от 9 октября 2007 г. N 1351</w:t>
        </w:r>
      </w:hyperlink>
      <w:r w:rsidRPr="00092CA2">
        <w:rPr>
          <w:rFonts w:ascii="Times New Roman" w:eastAsia="Times New Roman" w:hAnsi="Times New Roman" w:cs="Times New Roman"/>
          <w:sz w:val="24"/>
          <w:szCs w:val="24"/>
          <w:lang w:eastAsia="ru-RU"/>
        </w:rPr>
        <w:t>,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Одним из инструментов достижения целей демографической политики Российской Федерации согласно </w:t>
      </w:r>
      <w:hyperlink r:id="rId10" w:history="1">
        <w:r w:rsidRPr="00092CA2">
          <w:rPr>
            <w:rFonts w:ascii="Times New Roman" w:eastAsia="Times New Roman" w:hAnsi="Times New Roman" w:cs="Times New Roman"/>
            <w:color w:val="0000FF"/>
            <w:sz w:val="24"/>
            <w:szCs w:val="24"/>
            <w:u w:val="single"/>
            <w:lang w:eastAsia="ru-RU"/>
          </w:rPr>
          <w:t>плану мероприятий по реализации в 2011-2015 годах Концепции демографической политики Российской Федерации на период до 2025 года</w:t>
        </w:r>
      </w:hyperlink>
      <w:r w:rsidRPr="00092CA2">
        <w:rPr>
          <w:rFonts w:ascii="Times New Roman" w:eastAsia="Times New Roman" w:hAnsi="Times New Roman" w:cs="Times New Roman"/>
          <w:sz w:val="24"/>
          <w:szCs w:val="24"/>
          <w:lang w:eastAsia="ru-RU"/>
        </w:rPr>
        <w:t xml:space="preserve">, утвержденному </w:t>
      </w:r>
      <w:hyperlink r:id="rId11"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10 марта 2011 г. N 367-р</w:t>
        </w:r>
      </w:hyperlink>
      <w:r w:rsidRPr="00092CA2">
        <w:rPr>
          <w:rFonts w:ascii="Times New Roman" w:eastAsia="Times New Roman" w:hAnsi="Times New Roman" w:cs="Times New Roman"/>
          <w:sz w:val="24"/>
          <w:szCs w:val="24"/>
          <w:lang w:eastAsia="ru-RU"/>
        </w:rPr>
        <w:t>, должна стать федеральная целевая программа "Повышение безопасности дорожного движения в 2013-2020 годах" (далее - Программа).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Задачи по обеспечению безопасности дорожного движения также решаются в рамках реализации </w:t>
      </w:r>
      <w:hyperlink r:id="rId12" w:history="1">
        <w:r w:rsidRPr="00092CA2">
          <w:rPr>
            <w:rFonts w:ascii="Times New Roman" w:eastAsia="Times New Roman" w:hAnsi="Times New Roman" w:cs="Times New Roman"/>
            <w:color w:val="0000FF"/>
            <w:sz w:val="24"/>
            <w:szCs w:val="24"/>
            <w:u w:val="single"/>
            <w:lang w:eastAsia="ru-RU"/>
          </w:rPr>
          <w:t>государственной программы Российской Федерации "Доступная среда" на 2011-2015 годы</w:t>
        </w:r>
      </w:hyperlink>
      <w:r w:rsidRPr="00092CA2">
        <w:rPr>
          <w:rFonts w:ascii="Times New Roman" w:eastAsia="Times New Roman" w:hAnsi="Times New Roman" w:cs="Times New Roman"/>
          <w:sz w:val="24"/>
          <w:szCs w:val="24"/>
          <w:lang w:eastAsia="ru-RU"/>
        </w:rPr>
        <w:t xml:space="preserve">, утвержденной </w:t>
      </w:r>
      <w:hyperlink r:id="rId13"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марта 2011 г. N 175</w:t>
        </w:r>
      </w:hyperlink>
      <w:r w:rsidRPr="00092CA2">
        <w:rPr>
          <w:rFonts w:ascii="Times New Roman" w:eastAsia="Times New Roman" w:hAnsi="Times New Roman" w:cs="Times New Roman"/>
          <w:sz w:val="24"/>
          <w:szCs w:val="24"/>
          <w:lang w:eastAsia="ru-RU"/>
        </w:rPr>
        <w:t xml:space="preserve">, которая ставит цель по формированию к 2015 году условий для обеспечения равного доступа инвалидов (наравне с другими) к транспорту, информации и связи, а также объектам и услугам, предоставляемым населению. Мероприятия государственной </w:t>
      </w:r>
      <w:hyperlink r:id="rId14" w:history="1">
        <w:r w:rsidRPr="00092CA2">
          <w:rPr>
            <w:rFonts w:ascii="Times New Roman" w:eastAsia="Times New Roman" w:hAnsi="Times New Roman" w:cs="Times New Roman"/>
            <w:color w:val="0000FF"/>
            <w:sz w:val="24"/>
            <w:szCs w:val="24"/>
            <w:u w:val="single"/>
            <w:lang w:eastAsia="ru-RU"/>
          </w:rPr>
          <w:t>программы Российской Федерации "Доступная среда" на 2011-2015 годы</w:t>
        </w:r>
      </w:hyperlink>
      <w:r w:rsidRPr="00092CA2">
        <w:rPr>
          <w:rFonts w:ascii="Times New Roman" w:eastAsia="Times New Roman" w:hAnsi="Times New Roman" w:cs="Times New Roman"/>
          <w:sz w:val="24"/>
          <w:szCs w:val="24"/>
          <w:lang w:eastAsia="ru-RU"/>
        </w:rPr>
        <w:t xml:space="preserve"> носят адаптационный характер и нацелены на решение инфраструктурных проблем пользования людьми с ограниченными возможностями транспортной системой в целом.</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обучением).</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w:t>
      </w:r>
      <w:hyperlink r:id="rId15" w:history="1">
        <w:r w:rsidRPr="00092CA2">
          <w:rPr>
            <w:rFonts w:ascii="Times New Roman" w:eastAsia="Times New Roman" w:hAnsi="Times New Roman" w:cs="Times New Roman"/>
            <w:color w:val="0000FF"/>
            <w:sz w:val="24"/>
            <w:szCs w:val="24"/>
            <w:u w:val="single"/>
            <w:lang w:eastAsia="ru-RU"/>
          </w:rPr>
          <w:t>федеральную целевую программу "Развитие транспортной системы России (2010-2015 годы)"</w:t>
        </w:r>
      </w:hyperlink>
      <w:r w:rsidRPr="00092CA2">
        <w:rPr>
          <w:rFonts w:ascii="Times New Roman" w:eastAsia="Times New Roman" w:hAnsi="Times New Roman" w:cs="Times New Roman"/>
          <w:sz w:val="24"/>
          <w:szCs w:val="24"/>
          <w:lang w:eastAsia="ru-RU"/>
        </w:rPr>
        <w:t xml:space="preserve">, утвержденную </w:t>
      </w:r>
      <w:hyperlink r:id="rId16"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5 декабря 2001 г. N 848</w:t>
        </w:r>
      </w:hyperlink>
      <w:r w:rsidRPr="00092CA2">
        <w:rPr>
          <w:rFonts w:ascii="Times New Roman" w:eastAsia="Times New Roman" w:hAnsi="Times New Roman" w:cs="Times New Roman"/>
          <w:sz w:val="24"/>
          <w:szCs w:val="24"/>
          <w:lang w:eastAsia="ru-RU"/>
        </w:rPr>
        <w:t xml:space="preserve">, входит </w:t>
      </w:r>
      <w:hyperlink r:id="rId17" w:history="1">
        <w:r w:rsidRPr="00092CA2">
          <w:rPr>
            <w:rFonts w:ascii="Times New Roman" w:eastAsia="Times New Roman" w:hAnsi="Times New Roman" w:cs="Times New Roman"/>
            <w:color w:val="0000FF"/>
            <w:sz w:val="24"/>
            <w:szCs w:val="24"/>
            <w:u w:val="single"/>
            <w:lang w:eastAsia="ru-RU"/>
          </w:rPr>
          <w:t>подпрограмма "Автомобильные дороги"</w:t>
        </w:r>
      </w:hyperlink>
      <w:r w:rsidRPr="00092CA2">
        <w:rPr>
          <w:rFonts w:ascii="Times New Roman" w:eastAsia="Times New Roman" w:hAnsi="Times New Roman" w:cs="Times New Roman"/>
          <w:sz w:val="24"/>
          <w:szCs w:val="24"/>
          <w:lang w:eastAsia="ru-RU"/>
        </w:rPr>
        <w:t xml:space="preserve">,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Ожидаемые результаты </w:t>
      </w:r>
      <w:hyperlink r:id="rId18" w:history="1">
        <w:r w:rsidRPr="00092CA2">
          <w:rPr>
            <w:rFonts w:ascii="Times New Roman" w:eastAsia="Times New Roman" w:hAnsi="Times New Roman" w:cs="Times New Roman"/>
            <w:color w:val="0000FF"/>
            <w:sz w:val="24"/>
            <w:szCs w:val="24"/>
            <w:u w:val="single"/>
            <w:lang w:eastAsia="ru-RU"/>
          </w:rPr>
          <w:t>подпрограммы "Автомобильные дороги"</w:t>
        </w:r>
      </w:hyperlink>
      <w:r w:rsidRPr="00092CA2">
        <w:rPr>
          <w:rFonts w:ascii="Times New Roman" w:eastAsia="Times New Roman" w:hAnsi="Times New Roman" w:cs="Times New Roman"/>
          <w:sz w:val="24"/>
          <w:szCs w:val="24"/>
          <w:lang w:eastAsia="ru-RU"/>
        </w:rPr>
        <w:t xml:space="preserve">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 На условиях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из федерального бюджета планируется построить и реконструировать автомобильные дороги регионального и межмуниципального значения.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w:t>
      </w:r>
      <w:hyperlink r:id="rId19" w:history="1">
        <w:r w:rsidRPr="00092CA2">
          <w:rPr>
            <w:rFonts w:ascii="Times New Roman" w:eastAsia="Times New Roman" w:hAnsi="Times New Roman" w:cs="Times New Roman"/>
            <w:color w:val="0000FF"/>
            <w:sz w:val="24"/>
            <w:szCs w:val="24"/>
            <w:u w:val="single"/>
            <w:lang w:eastAsia="ru-RU"/>
          </w:rPr>
          <w:t>Концепции долгосрочного социально-экономического развития Российской Федерации на период до 2020 года</w:t>
        </w:r>
      </w:hyperlink>
      <w:r w:rsidRPr="00092CA2">
        <w:rPr>
          <w:rFonts w:ascii="Times New Roman" w:eastAsia="Times New Roman" w:hAnsi="Times New Roman" w:cs="Times New Roman"/>
          <w:sz w:val="24"/>
          <w:szCs w:val="24"/>
          <w:lang w:eastAsia="ru-RU"/>
        </w:rPr>
        <w:t xml:space="preserve">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Цели повышения уровня безопасности транспортной системы, сокращения темпов роста количества дорожно-транспортных происшествий, а также снижение тяжести их последствий, числа пострадавших и погибших в них обозначены и в </w:t>
      </w:r>
      <w:hyperlink r:id="rId20" w:history="1">
        <w:r w:rsidRPr="00092CA2">
          <w:rPr>
            <w:rFonts w:ascii="Times New Roman" w:eastAsia="Times New Roman" w:hAnsi="Times New Roman" w:cs="Times New Roman"/>
            <w:color w:val="0000FF"/>
            <w:sz w:val="24"/>
            <w:szCs w:val="24"/>
            <w:u w:val="single"/>
            <w:lang w:eastAsia="ru-RU"/>
          </w:rPr>
          <w:t>Транспортной стратегии Российской Федерации на период до 2030 года</w:t>
        </w:r>
      </w:hyperlink>
      <w:r w:rsidRPr="00092CA2">
        <w:rPr>
          <w:rFonts w:ascii="Times New Roman" w:eastAsia="Times New Roman" w:hAnsi="Times New Roman" w:cs="Times New Roman"/>
          <w:sz w:val="24"/>
          <w:szCs w:val="24"/>
          <w:lang w:eastAsia="ru-RU"/>
        </w:rPr>
        <w:t xml:space="preserve">, утвержденной </w:t>
      </w:r>
      <w:hyperlink r:id="rId21" w:history="1">
        <w:r w:rsidRPr="00092CA2">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22 ноября 2008 г. N 1734-р</w:t>
        </w:r>
      </w:hyperlink>
      <w:r w:rsidRPr="00092CA2">
        <w:rPr>
          <w:rFonts w:ascii="Times New Roman" w:eastAsia="Times New Roman" w:hAnsi="Times New Roman" w:cs="Times New Roman"/>
          <w:sz w:val="24"/>
          <w:szCs w:val="24"/>
          <w:lang w:eastAsia="ru-RU"/>
        </w:rPr>
        <w:t>. Задачи указанной Стратегии предлагают стратегические ориентиры в решении проблем безопасности всей транспортной системы России, в то время как Программа направлена на решение на тактическом уровне одной из задач указанной Стратегии повышение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снижения темпов убыли населения Российской Федерации, создания условий для роста его численности;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целевого увеличения к 2020 году валового внутреннего продукта;</w:t>
      </w:r>
    </w:p>
    <w:p w:rsidR="00795C01" w:rsidRPr="00092CA2"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высоких стандартов благосостояния граждан России.</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II. Предварительный анализ итогов реализации федеральной целевой программы "Повышение безопасности дорожного движения в 2006-2012 годах"</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Результаты реализации стратегии обеспечения безопасности дорожного движения в России, основу которой с 2006 года составляет </w:t>
      </w:r>
      <w:hyperlink r:id="rId22" w:history="1">
        <w:r w:rsidRPr="00092CA2">
          <w:rPr>
            <w:rFonts w:ascii="Times New Roman" w:eastAsia="Times New Roman" w:hAnsi="Times New Roman" w:cs="Times New Roman"/>
            <w:color w:val="0000FF"/>
            <w:sz w:val="24"/>
            <w:szCs w:val="24"/>
            <w:u w:val="single"/>
            <w:lang w:eastAsia="ru-RU"/>
          </w:rPr>
          <w:t>федеральная целевая программа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утвержденная </w:t>
      </w:r>
      <w:hyperlink r:id="rId23"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20 февраля 2006 г. N 100</w:t>
        </w:r>
      </w:hyperlink>
      <w:r w:rsidRPr="00092CA2">
        <w:rPr>
          <w:rFonts w:ascii="Times New Roman" w:eastAsia="Times New Roman" w:hAnsi="Times New Roman" w:cs="Times New Roman"/>
          <w:sz w:val="24"/>
          <w:szCs w:val="24"/>
          <w:lang w:eastAsia="ru-RU"/>
        </w:rPr>
        <w:t>, свидетельствуют, что использование программно-целевых методов управления в этой сфере позволило значительно улучшить ситуацию с дорожно-транспортной аварийностью в стране. За 5 лет ее реализации число лиц, погибших в дорожно-транспортных происшествиях, удалось сократить на 23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рамках реализации </w:t>
      </w:r>
      <w:hyperlink r:id="rId24"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 2010 году по сравнению с расчетным 2004 годом сократились:</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(количество лиц, погибших в результате дорожно-транспортных происшествий, на 10 тыс. транспортных средств) - на 32,8 процента, составив 6,1 погибшего на 10 тыс. транспортных средств;</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(количество лиц, погибших в результате дорожно-транспортных происшествий, на 100 тыс. населения) - на 19,4 процента, составив 18,6 погибшего на 100 тыс. населения;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дорожно-транспортных происшествий (количество лиц, погибших в результате дорожно-транспортных происшествий, на 100 пострадавших) - на 6,8 процента, составив 9,6 погибшего на 100 пострадавших;</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количество детей, погибших в результате дорожно-транспортных происшествий, - на 36 процентов;</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количество дорожно-транспортных происшествий с участием водителей, стаж управления транспортным средством которых не превышает 3 лет, - на 6,1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Позитивное влияние программно-целевых методов управления на состояние аварийности подтверждается динамикой значений следующих основных показателей</w:t>
      </w:r>
      <w:r w:rsidR="00501739">
        <w:rPr>
          <w:rFonts w:ascii="Times New Roman" w:eastAsia="Times New Roman" w:hAnsi="Times New Roman" w:cs="Times New Roman"/>
          <w:sz w:val="24"/>
          <w:szCs w:val="24"/>
          <w:lang w:eastAsia="ru-RU"/>
        </w:rPr>
        <w:t xml:space="preserve"> аварийности в 1997-2010 годах:</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1997-2003 годы - период деятельности по обеспечению безопасности дорожного движения в условиях отсутствия программно-целевого подхода, характеризующийся существенным ухудшением ситуации с аварийностью, в частности рост числа погибших в дорожно-транспортных происшествиях за 6 лет составил 28,7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2004-2005 годы - период начала действия программно-целевого подхода, характеризующийся сокращением числа лиц, погибших в дорожно-транспортных происшествиях, на 4,6 процента в сравнении с уровнем 2003 года;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2006-2007 годы - период начала действия </w:t>
      </w:r>
      <w:hyperlink r:id="rId25"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в котором отмечается первичный рост и последующее незначительное сокращение числа лиц, погибших в дорожно-транспортных происшествиях, на 1,9 процента в сравнении с уровнем 2005 года;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2008-2010 годы - период интенсивного снижения числа лиц, погибших в дорожно-транспортных происшествиях, - по сравнению с 2007 годом снижение составило 20,2 процента, с 1996 годом - 9,9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2009 году после преодоления инерции стартового периода реализации </w:t>
      </w:r>
      <w:hyperlink r:id="rId26"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 России удалось впервые с 1996 года последовательно обеспечивать сокращение количества дорожно-транспортных происшествий с пострадавшими и достичь уровня 15-летнего минимума числа погибших в дорожно-транспортных происшествиях за год. В этот период число погибших в дорожно-транспортных происшествиях не только сократилось, но и по темпам своего снижения опередило ожидаемую динамику значений данного показателя (за 2006-2010 годы - на 2039 человек).</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За годы реализации </w:t>
      </w:r>
      <w:hyperlink r:id="rId27"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Россия вошла в число стран - лидеров по темпам сокращения смертности на дорогах, существенно опередив по этому показателю практически все европейские и азиатские страны, Соединенные Штаты Америки и Австралию, что свидетельствует об эффективности использования программно-целевого подхода при решении проблем по обеспечению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Принятие и реализация </w:t>
      </w:r>
      <w:hyperlink r:id="rId28"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позволили заложить основы программно-целевого подхода к решению проблем аварийности на дорогах России, в </w:t>
      </w:r>
      <w:proofErr w:type="spellStart"/>
      <w:proofErr w:type="gramStart"/>
      <w:r w:rsidRPr="00092CA2">
        <w:rPr>
          <w:rFonts w:ascii="Times New Roman" w:eastAsia="Times New Roman" w:hAnsi="Times New Roman" w:cs="Times New Roman"/>
          <w:sz w:val="24"/>
          <w:szCs w:val="24"/>
          <w:lang w:eastAsia="ru-RU"/>
        </w:rPr>
        <w:t>частности:установлены</w:t>
      </w:r>
      <w:proofErr w:type="spellEnd"/>
      <w:proofErr w:type="gramEnd"/>
      <w:r w:rsidRPr="00092CA2">
        <w:rPr>
          <w:rFonts w:ascii="Times New Roman" w:eastAsia="Times New Roman" w:hAnsi="Times New Roman" w:cs="Times New Roman"/>
          <w:sz w:val="24"/>
          <w:szCs w:val="24"/>
          <w:lang w:eastAsia="ru-RU"/>
        </w:rPr>
        <w:t xml:space="preserve"> до 2012 года цель, задачи, измеримые целевые ориентиры снижения числа лиц, ежегодно погибающих в дорожно-транспортных происшествиях;</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разработана система программных мероприятий, ориентированных на достижение целей, и определены объемы и источники финансирования этих мероприятий;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во всех субъектах Российской Федерации и более чем в 1500 муниципальных образований приняты и реализуются программы по обеспечению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активно работают региональные комиссии по обеспечению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Существенным результатом реализации </w:t>
      </w:r>
      <w:hyperlink r:id="rId29"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стало начавшееся изменение отношения всех органов власти к безопасности дорожного движения как к одному из национальных приоритетов государственной политики Российской Федерации.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Одним из основных факторов, позволивших достичь таких результатов, является успешная реализация программных мероприятий.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рамках </w:t>
      </w:r>
      <w:hyperlink r:id="rId30"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реализовано более 4 тыс. основных мероприятий стоимостью около 24 млрд. рублей, в том числе:</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введены в действие 2 федеральных экспериментальных центра "Детский </w:t>
      </w:r>
      <w:proofErr w:type="spellStart"/>
      <w:r w:rsidRPr="00092CA2">
        <w:rPr>
          <w:rFonts w:ascii="Times New Roman" w:eastAsia="Times New Roman" w:hAnsi="Times New Roman" w:cs="Times New Roman"/>
          <w:sz w:val="24"/>
          <w:szCs w:val="24"/>
          <w:lang w:eastAsia="ru-RU"/>
        </w:rPr>
        <w:t>автогород</w:t>
      </w:r>
      <w:proofErr w:type="spellEnd"/>
      <w:r w:rsidRPr="00092CA2">
        <w:rPr>
          <w:rFonts w:ascii="Times New Roman" w:eastAsia="Times New Roman" w:hAnsi="Times New Roman" w:cs="Times New Roman"/>
          <w:sz w:val="24"/>
          <w:szCs w:val="24"/>
          <w:lang w:eastAsia="ru-RU"/>
        </w:rPr>
        <w:t xml:space="preserve">" и 15 детских </w:t>
      </w:r>
      <w:proofErr w:type="spellStart"/>
      <w:r w:rsidRPr="00092CA2">
        <w:rPr>
          <w:rFonts w:ascii="Times New Roman" w:eastAsia="Times New Roman" w:hAnsi="Times New Roman" w:cs="Times New Roman"/>
          <w:sz w:val="24"/>
          <w:szCs w:val="24"/>
          <w:lang w:eastAsia="ru-RU"/>
        </w:rPr>
        <w:t>автогородков</w:t>
      </w:r>
      <w:proofErr w:type="spellEnd"/>
      <w:r w:rsidRPr="00092CA2">
        <w:rPr>
          <w:rFonts w:ascii="Times New Roman" w:eastAsia="Times New Roman" w:hAnsi="Times New Roman" w:cs="Times New Roman"/>
          <w:sz w:val="24"/>
          <w:szCs w:val="24"/>
          <w:lang w:eastAsia="ru-RU"/>
        </w:rPr>
        <w:t>, в 1000 общеобразовательных школ субъектов Российской Федерации для учащихся и учителей осуществлена рассылка комплектов учебно-методической литературы по безопасному участию детей в дорожном движении;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модернизированы 786 светофорных объектов, включая оснащение светодиодными светофорами, современными управляющими контроллерами, табло обратного отсчета времени разрешающего сигнала, дополнительными звуковыми сопровождающими сигналами и др.;</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созданы системы маршрутного ориентирования участников дорожного движения (разработка маршрутов, установка информационно-указательных дорожных знаков) более чем в 180 городах;</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изготовлены, смонтированы и переданы в субъекты Российской Федерации 100 передвижных лабораторий для контроля за технико-эксплуатационным состоянием улично-дорожной сети городов;</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оснащены дорожными удерживающими ограждениями для автомобилей и пешеходов наиболее опасные участки улично-дорожной сети в 12 субъектах Российской Федерации;</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построен учебно-тренировочный комплекс для обучения и подготовки спасателей при ликвидации последствий дорожно-транспортных происшествий;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реализован комплекс научно-исследовательских и опытно-конструкторских работ по таким направлениям, как повышение правового сознания и предупреждение опасного поведения участников дорожного движения, приняты организационно-планировочные и инженерные меры по совершенствованию организации движения транспортных средств и пешеходов в городах, развитию системы оказания помощи пострадавшим в результате дорожно-транспортных происшествий, а также меры по совершенствованию нормативно-правовых, методических и организационных основ системы управления деятельностью в области обеспечения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создана и активно используется в работе многопараметрическая информационно-аналитическая система прогнозирования и моделирования ситуации в области обеспечения безопасности дорожного движения.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рамках </w:t>
      </w:r>
      <w:hyperlink r:id="rId31"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ведется реконструкция (строительство) федерального учебного центра подготовки и переподготовки сотрудников Госавтоинспекции (Московская область) и федерального центра оперативного управления и специальных мероприятий (</w:t>
      </w:r>
      <w:proofErr w:type="spellStart"/>
      <w:r w:rsidRPr="00092CA2">
        <w:rPr>
          <w:rFonts w:ascii="Times New Roman" w:eastAsia="Times New Roman" w:hAnsi="Times New Roman" w:cs="Times New Roman"/>
          <w:sz w:val="24"/>
          <w:szCs w:val="24"/>
          <w:lang w:eastAsia="ru-RU"/>
        </w:rPr>
        <w:t>г.Москва</w:t>
      </w:r>
      <w:proofErr w:type="spellEnd"/>
      <w:r w:rsidRPr="00092CA2">
        <w:rPr>
          <w:rFonts w:ascii="Times New Roman" w:eastAsia="Times New Roman" w:hAnsi="Times New Roman" w:cs="Times New Roman"/>
          <w:sz w:val="24"/>
          <w:szCs w:val="24"/>
          <w:lang w:eastAsia="ru-RU"/>
        </w:rPr>
        <w:t>). Работы начаты в 2006 году, завершение работ запланировано на 2012 год.</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Финансирование мероприятий </w:t>
      </w:r>
      <w:hyperlink r:id="rId32"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осуществляется целевым образом за счет средств федерального бюджета, бюджетов субъектов Российской Федерации и привлеченных внебюджетных источников по 3 статьям расходов:</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научно-исследовательские и опытно-конструкторские работы;</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Общий объем финансирования программных мероприятий составляет 47755,5 млн. рублей, в том числе:</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за счет средств федерального бюджета - 21048,96 млн. рублей (из них на научно-исследовательские и опытно-конструкторские работы - 2446,22 млн. рублей (11,6 процента), капитальные вложения - 15247,53 млн. рублей (72,4 процента) и прочие нужды - 3355,21 млн. рублей (16 процентов));</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за счет средств бюджетов субъектов Российской Федерации 26245,4 млн. рублей (из них на капитальные вложения 21805,9 млн. рублей (83,1 процента) и прочие нужды 4439,5 млн. рублей (16,9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за счет средств внебюджетных источников - 461,1 млн. рублей (из них на капитальные вложения - 359,9 млн. рублей (78 процентов) и прочие нужды - 101,2 млн. рублей (22 процента)).</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Фактическое освоение средств федерального бюджета, направленных в 2006-2010 годах на реализацию программных мероприятий по обеспечению безопасности дорожного движения, составило 12091,234 млн. рублей. Средства федерального бюджета, предусмотренные на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мероприятий региональных целевых программ по повышению безопасности дорожного движения, выделяются субъектам Российской Федерации в виде материально-технических ресурсов и целевых субсидий.</w:t>
      </w:r>
    </w:p>
    <w:p w:rsidR="00501739"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Плановое финансирование программных мероприятий за счет средств региональных бюджетов в 2006 году было превышено в 2,6 раза, в 2007 году - на 30,6 процента, а в 2008 - 2010 годах недофинансирование программных мероприятий составило 7,5 процента, 41,9 процента и 12,7 процента соответственно. В ряде субъектов Российской Федерации изысканы возможности финансирования мероприятий по обеспечению безопасности дорожного движения за счет средств внебюджетных источников (страховых выплат, сотрудничества с коммерческими структурами и индивидуальными предпринимателями), что позволило привлечь для реализации программных мероприятий 300,78 млн. рублей внебюджетных средств.</w:t>
      </w:r>
    </w:p>
    <w:p w:rsidR="00795C01" w:rsidRPr="00092CA2"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2006-2010 годах результат проведенных мероприятий по обеспечению безопасности дорожного движения дал социально-экономический эффект, исчисляемый в размере 51356,3 млн. рублей, при положительном эффекте для федерального бюджета в размере 1376,4 млн. рублей.</w:t>
      </w:r>
    </w:p>
    <w:p w:rsidR="0002654D"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III. Обоснование целесообразности решения проблемы </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программно-целевым методом</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Целесообразность решения проблемы программно-целевым методом подтверждена практикой реализации </w:t>
      </w:r>
      <w:hyperlink r:id="rId33"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Вместе с тем, несмотря на эффективность ее реализации, движение на дорогах России остается небезопасным по сравнению с наиболее развитыми странами, в частности на 100 тыс. жителей в дорожно-транспортных происшествиях в России гибнет почти в 5 раз больше человек, чем в Нидерландах, и в 2 раза больше, чем в Чехии, уровень автомобилизации в которой почти в 2 раза выше российского.</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Дальнейшего развития требует институциональное обеспечение реализации комплексных мер по повышению безопасности дорожного движения в целях: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обеспечения баланса понимания обществом опасности дорожного движения, возможностей и мер государства по обеспечению безопасного движения на дорогах;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расширения использования возможности влияния законодательства Российской Федерации и иных мер воздействия на агрессивное и противоправное поведение участников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урегулирования вопросов реализации организационно-правовых и организационно-технических функций в сфере организации движения транспортных средств и пешеходов;</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приведения элементов дорожно-транспортной инфраструктуры в соответствие с нормативными требованиями в части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системной проработки механизмов вовлечения субъектов Российской Федерации и муниципальных образований в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и реализацию мероприятий по обеспечению безопасности дорожного движения и механизмов их экономической заинтересованности в достижении результата;</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дальнейшей детальной разработки инструментов синхронизации системы программных мероприятий органов управления на федеральном, региональном и местном уровнях;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развития системы показателей и индикаторов деятельности по повышению безопасности дорожного движения для органов управления на федеральном, региональном и местном уровнях.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Эффективное продолжение решения существующих проблем возможно только в условиях пролонгации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Программы, поскольку это позволит:</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установить единые цели и задачи деятельности по повышению безопасности дорожного движения до 2020 года;</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сформировать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повысить эффективность управления в области обеспечения безопасности дорожного движения на федеральном, региональном и местном уровнях, а также в области межведомственного и межуровневого взаимодействия и координации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концентрировать ресурсы государства на реализации мероприятий, соответствующих приоритетным целям и задачам в сфере обеспечения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применять принципы бюджетного планирования, ориентированного на результат.</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Таким образом, продолжение применения программно-целевого метода для решения проблем дорожно-транспортной аварийности в России позволит не только сохранить накопленный потенциал и привести к сокращению числа погибших в дорожно-транспортных происшествиях в Российской Федерации к 2020 году, гармонизации системы обеспечения безопасности дорожного движения в целях конституционной защиты прав и свобод человека и гражданина России, но и сформировать предпосылки для достижения более амбициозных стратегических целей снижения дорожно-транспортного травматизма на следующее десятилетие.</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IV. Характеристика и прогноз развития сложившейся ситуации в сфере обеспечения безопасности дорожного движения без использования программно-целевого метода</w:t>
      </w:r>
    </w:p>
    <w:p w:rsidR="00501739" w:rsidRDefault="0002654D" w:rsidP="00261615">
      <w:pPr>
        <w:spacing w:after="0" w:line="240" w:lineRule="auto"/>
        <w:ind w:firstLine="709"/>
        <w:rPr>
          <w:rFonts w:ascii="Times New Roman" w:eastAsia="Times New Roman" w:hAnsi="Times New Roman" w:cs="Times New Roman"/>
          <w:sz w:val="24"/>
          <w:szCs w:val="24"/>
          <w:lang w:eastAsia="ru-RU"/>
        </w:rPr>
      </w:pPr>
      <w:hyperlink r:id="rId34" w:history="1">
        <w:r w:rsidR="00795C01" w:rsidRPr="00092CA2">
          <w:rPr>
            <w:rFonts w:ascii="Times New Roman" w:eastAsia="Times New Roman" w:hAnsi="Times New Roman" w:cs="Times New Roman"/>
            <w:color w:val="0000FF"/>
            <w:sz w:val="24"/>
            <w:szCs w:val="24"/>
            <w:u w:val="single"/>
            <w:lang w:eastAsia="ru-RU"/>
          </w:rPr>
          <w:t>Федеральной целевой программой "Повышение безопасности дорожного движения в 2006-2012 годах"</w:t>
        </w:r>
      </w:hyperlink>
      <w:r w:rsidR="00795C01" w:rsidRPr="00092CA2">
        <w:rPr>
          <w:rFonts w:ascii="Times New Roman" w:eastAsia="Times New Roman" w:hAnsi="Times New Roman" w:cs="Times New Roman"/>
          <w:sz w:val="24"/>
          <w:szCs w:val="24"/>
          <w:lang w:eastAsia="ru-RU"/>
        </w:rPr>
        <w:t xml:space="preserve"> предусмотрено сокращение в 2012 году по сравнению с 2004 годом числа лиц, погибших в результате дорожно-транспортных происшествий, в 1,5 раза.</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настоящее время ситуация относительно аварийности характеризуется следующими параметрами:</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основные показатели аварийности в России в несколько раз выше, чем в развитых странах мира, в частности число погибших в дорожно-транспортных происшествиях в 2010 году составило 26567 человек, количество дорожно-транспортных происшествий 199431, социальный риск - 18,6 погибших на 100 тыс. населения;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около 70 процентов дорожно-транспортных происшествий в России происходит на территории городов и населенных пунктов, в них погибают более 40 процентов и получают ранения более 65 процентов общего числа пострадавших;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видами дорожно-транспортных происшествий продолжают оставаться происшествия с высокой тяжестью последствий, в частности наезд на пешехода (34,2 процента всех дорожно-транспортных происшествий и 33 процента погибших);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свыше половины (61,1 процента) погибших в дорожно-транспортных происшествиях в 2010 году составили лица в возрасте 26-60 лет, из которых половина наиболее трудоспособного возраста (26-40 лет);</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2010 году зарегистрировано 20262 дорожно-транспортных происшествия с участием детей и подростков в возрасте до 16 лет, в которых погибли 898 детей (уменьшение на 1,8 процента по отношению к уровню 2009 года) и получили ранения 21149 детей, 47 процентов всех пострадавших в дорожно-транспортных происшествиях детей являлись пешеходами (10016 человек), 40,9 процента - пассажирами транспортных средств (9019 человек), 6,6 процента велосипедистами, 5,2 процента - водителями транспортных средств;</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каждый второй погибший в дорожно-транспортном происшествии ребенок участвовал в дорожном движении в качестве пассажира. В 7849 дорожно-транспортных происшествиях с участием детей-пассажиров погибли 489 и получили ранения 8530 детей. Нарушение правил перевозки детей фиксируется при оформлении каждого десятого дорожно-транспортного происшествия;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2010 году зарегистрировано 10016 наездов на несовершеннолетних пешеходов, в которых погибли 332 ребенка и были ранены 10028 детей. Переход детьми проезжей части в неустановленном месте или неожиданный выход на проезжую часть из-за транспортных средств, деревьев, сооружений - самые распространенные причины наездов на детей (46,6 процента и 30,8 процента соответственно всех дорожно-транспортных происшествий по причинам нарушения детьми </w:t>
      </w:r>
      <w:hyperlink r:id="rId35" w:history="1">
        <w:r w:rsidRPr="00092CA2">
          <w:rPr>
            <w:rFonts w:ascii="Times New Roman" w:eastAsia="Times New Roman" w:hAnsi="Times New Roman" w:cs="Times New Roman"/>
            <w:color w:val="0000FF"/>
            <w:sz w:val="24"/>
            <w:szCs w:val="24"/>
            <w:u w:val="single"/>
            <w:lang w:eastAsia="ru-RU"/>
          </w:rPr>
          <w:t>Правил дорожного движения</w:t>
        </w:r>
      </w:hyperlink>
      <w:r w:rsidRPr="00092CA2">
        <w:rPr>
          <w:rFonts w:ascii="Times New Roman" w:eastAsia="Times New Roman" w:hAnsi="Times New Roman" w:cs="Times New Roman"/>
          <w:sz w:val="24"/>
          <w:szCs w:val="24"/>
          <w:lang w:eastAsia="ru-RU"/>
        </w:rPr>
        <w:t>);</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общей структуре аварийности наибольшее количество дорожно-транспортных происшествий происходит по причине нарушения </w:t>
      </w:r>
      <w:hyperlink r:id="rId36" w:history="1">
        <w:r w:rsidRPr="00092CA2">
          <w:rPr>
            <w:rFonts w:ascii="Times New Roman" w:eastAsia="Times New Roman" w:hAnsi="Times New Roman" w:cs="Times New Roman"/>
            <w:color w:val="0000FF"/>
            <w:sz w:val="24"/>
            <w:szCs w:val="24"/>
            <w:u w:val="single"/>
            <w:lang w:eastAsia="ru-RU"/>
          </w:rPr>
          <w:t>Правил дорожного движения</w:t>
        </w:r>
      </w:hyperlink>
      <w:r w:rsidRPr="00092CA2">
        <w:rPr>
          <w:rFonts w:ascii="Times New Roman" w:eastAsia="Times New Roman" w:hAnsi="Times New Roman" w:cs="Times New Roman"/>
          <w:sz w:val="24"/>
          <w:szCs w:val="24"/>
          <w:lang w:eastAsia="ru-RU"/>
        </w:rPr>
        <w:t xml:space="preserve"> водителями транспортных средств, при этом удельный вес таких дорожно-транспортных происшествий ежегодно возрастает (от 78,8 процента общего количества дорожно-транспортных происшествий в 2004 году до 85 процентов в 2010 году). В таких дорожно-транспортных происшествиях погибает и получает ранения подавляющее большинство пострадавших в результате дорожно-транспортных происшествий (83,6 процента от общего числа погибших и 89,3 процента от общего числа раненых);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три четверти всех дорожно-транспортных происшествий по причине нарушения водителями транспортных средств </w:t>
      </w:r>
      <w:hyperlink r:id="rId37" w:history="1">
        <w:r w:rsidRPr="00092CA2">
          <w:rPr>
            <w:rFonts w:ascii="Times New Roman" w:eastAsia="Times New Roman" w:hAnsi="Times New Roman" w:cs="Times New Roman"/>
            <w:color w:val="0000FF"/>
            <w:sz w:val="24"/>
            <w:szCs w:val="24"/>
            <w:u w:val="single"/>
            <w:lang w:eastAsia="ru-RU"/>
          </w:rPr>
          <w:t>Правил дорожного движения</w:t>
        </w:r>
      </w:hyperlink>
      <w:r w:rsidRPr="00092CA2">
        <w:rPr>
          <w:rFonts w:ascii="Times New Roman" w:eastAsia="Times New Roman" w:hAnsi="Times New Roman" w:cs="Times New Roman"/>
          <w:sz w:val="24"/>
          <w:szCs w:val="24"/>
          <w:lang w:eastAsia="ru-RU"/>
        </w:rPr>
        <w:t xml:space="preserve"> связаны с водителями легковых автомобилей, каждое четырнадцатое дорожно-транспортное происшествие этой категории совершается водителями в состоянии опьянения;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основной причиной почти каждого пятого дорожно-транспортного происшествия, гибели и ранения каждого пятого участника дорожного движения являются недостатки эксплуатационного состояния </w:t>
      </w:r>
      <w:proofErr w:type="spellStart"/>
      <w:r w:rsidRPr="00092CA2">
        <w:rPr>
          <w:rFonts w:ascii="Times New Roman" w:eastAsia="Times New Roman" w:hAnsi="Times New Roman" w:cs="Times New Roman"/>
          <w:sz w:val="24"/>
          <w:szCs w:val="24"/>
          <w:lang w:eastAsia="ru-RU"/>
        </w:rPr>
        <w:t>уличнодорожной</w:t>
      </w:r>
      <w:proofErr w:type="spellEnd"/>
      <w:r w:rsidRPr="00092CA2">
        <w:rPr>
          <w:rFonts w:ascii="Times New Roman" w:eastAsia="Times New Roman" w:hAnsi="Times New Roman" w:cs="Times New Roman"/>
          <w:sz w:val="24"/>
          <w:szCs w:val="24"/>
          <w:lang w:eastAsia="ru-RU"/>
        </w:rPr>
        <w:t xml:space="preserve"> сети (в 2010 году - 21 процент дорожно-транспортных происшествий, 22,2 процента погибших, 21 процент раненых);</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около 60 процентов летальных исходов при совершении дорожно-транспортных происшествий приходится на </w:t>
      </w:r>
      <w:proofErr w:type="spellStart"/>
      <w:r w:rsidRPr="00092CA2">
        <w:rPr>
          <w:rFonts w:ascii="Times New Roman" w:eastAsia="Times New Roman" w:hAnsi="Times New Roman" w:cs="Times New Roman"/>
          <w:sz w:val="24"/>
          <w:szCs w:val="24"/>
          <w:lang w:eastAsia="ru-RU"/>
        </w:rPr>
        <w:t>догоспитальный</w:t>
      </w:r>
      <w:proofErr w:type="spellEnd"/>
      <w:r w:rsidRPr="00092CA2">
        <w:rPr>
          <w:rFonts w:ascii="Times New Roman" w:eastAsia="Times New Roman" w:hAnsi="Times New Roman" w:cs="Times New Roman"/>
          <w:sz w:val="24"/>
          <w:szCs w:val="24"/>
          <w:lang w:eastAsia="ru-RU"/>
        </w:rPr>
        <w:t xml:space="preserve"> период;</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количество дорожно-транспортных происшествий, к ликвидации </w:t>
      </w:r>
      <w:proofErr w:type="gramStart"/>
      <w:r w:rsidRPr="00092CA2">
        <w:rPr>
          <w:rFonts w:ascii="Times New Roman" w:eastAsia="Times New Roman" w:hAnsi="Times New Roman" w:cs="Times New Roman"/>
          <w:sz w:val="24"/>
          <w:szCs w:val="24"/>
          <w:lang w:eastAsia="ru-RU"/>
        </w:rPr>
        <w:t>последствий</w:t>
      </w:r>
      <w:proofErr w:type="gramEnd"/>
      <w:r w:rsidRPr="00092CA2">
        <w:rPr>
          <w:rFonts w:ascii="Times New Roman" w:eastAsia="Times New Roman" w:hAnsi="Times New Roman" w:cs="Times New Roman"/>
          <w:sz w:val="24"/>
          <w:szCs w:val="24"/>
          <w:lang w:eastAsia="ru-RU"/>
        </w:rPr>
        <w:t xml:space="preserve"> которых в 2010 году привлекались пожарно-спасательные подразделения, составило 128658 происшествий (увеличение на 97,5 процента по отношению к уровню 2009 года), примерно каждая пятая технологическая операция при ликвидации последствий дорожно-транспортных происшествий связана с оказанием первой помощи пострадавшим, каждая восьмая - с деблокированием пострадавших из транспортных средств.</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Расчет прогнозных показателей аварийности показывает, что при отказе от продолжения применения программно-целевого метода управления сферой обеспечения безопасности дорожного движения число погибших в дорожно-транспортных происшествиях к 2020 году достигнет 32,5 тыс. человек. Этот показатель превысит аналогичный показатель 2010 года более чем на 22 процента. При этом социальный риск может возрасти до 22,7 погибших на 100 тыс. населения, а транспортный риск - до 6,4 погибшего на 10 тыс. транспортных средств.</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Для эффективного решения проблем, связанных с дорожно-транспортной аварийностью и обеспечением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Отсутствие новой федеральной целевой программы до 2020 года после окончания действия </w:t>
      </w:r>
      <w:hyperlink r:id="rId38"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может привести к следующим факторам:</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увеличение смертности в результате дорожно-транспортных происшествий (до 32,5 тыс. погибших в год);</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рост социально-экономического ущерба от дорожно-транспортных происшествий (на 2828,69 млрд. рублей);</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ухудшение имиджа страны на мировой арене в результате роста показателей аварийности.</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Вероятными последствиями отказа от использования программно-целевого метода после 2012 года также могут стать:</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разрозненные действия органов власти на всех уровнях управления, снижение их ответственности и появление бессистемности в решении стоящих перед государством задач в области обеспечения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невозможность формирования единых целевых индикаторов и показателей в сфере обеспечения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неэффективное использование бюджетных средств, отсутствие условий для привлечения внебюджетных средств в целях решения проблем обеспечения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отсутствие эффективных механизмов контроля за реализацией мероприятий по повышению безопасности дорожного движения.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этом случае государственная политика в области обеспечения безопасности дорожного движения в стране может свестись преимущественно к совершенствованию организационно-правовых основ деятельности в этой области, что обеспечит лишь локальную результативность в части снижения основных показателей аварийности.</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 и активизации роли государства в решении задач с использованием программно-целевого метода.</w:t>
      </w:r>
    </w:p>
    <w:p w:rsidR="00795C01" w:rsidRPr="00092CA2" w:rsidRDefault="00795C01" w:rsidP="00261615">
      <w:pPr>
        <w:spacing w:after="0" w:line="240" w:lineRule="auto"/>
        <w:ind w:firstLine="709"/>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V. Возможные варианты решения проблемы, оценка преимуществ и рисков, возникающих при различных вариантах решения проблемы</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целях решения задачи снижения смертности в дорожном движении рассматриваются 2 варианта.</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При 1-м варианте снижение уровня смертности будет происходить в рамках сформированных в 2005 году направлений, реализуемых в </w:t>
      </w:r>
      <w:hyperlink r:id="rId39" w:history="1">
        <w:r w:rsidRPr="00092CA2">
          <w:rPr>
            <w:rFonts w:ascii="Times New Roman" w:eastAsia="Times New Roman" w:hAnsi="Times New Roman" w:cs="Times New Roman"/>
            <w:color w:val="0000FF"/>
            <w:sz w:val="24"/>
            <w:szCs w:val="24"/>
            <w:u w:val="single"/>
            <w:lang w:eastAsia="ru-RU"/>
          </w:rPr>
          <w:t>федеральной целевой программе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с проведением необходимой актуализации перечня наиболее важных мероприятий и объемов их финансирования.</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 2-м варианте предполагается формирование системы задач и направлений, отвечающих проблемам, возникающим на современном этапе, приоритетам в области обеспечения безопасности дорожного движения и объективной необходимости изменений принципов взаимодействия с субъектами Российской Федерации в вопросах реализации программных мероприятий.</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Согласно 2-му варианту деятельность по снижению дорожно-транспортного травматизма в России до 2020 года с учетом значимости проблемы аварийности для социально-экономического развития страны будет обеспечивать использование актуальных на современном этапе развития подходов, механизмов, решений и сохранение преемственности достигнутых результатов.</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Предполагается использовать 2-й вариант, так как ресурс существующих в </w:t>
      </w:r>
      <w:hyperlink r:id="rId40" w:history="1">
        <w:r w:rsidRPr="00092CA2">
          <w:rPr>
            <w:rFonts w:ascii="Times New Roman" w:eastAsia="Times New Roman" w:hAnsi="Times New Roman" w:cs="Times New Roman"/>
            <w:color w:val="0000FF"/>
            <w:sz w:val="24"/>
            <w:szCs w:val="24"/>
            <w:u w:val="single"/>
            <w:lang w:eastAsia="ru-RU"/>
          </w:rPr>
          <w:t>федеральной целевой программе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направлений реализации первоочередных мероприятий близок к своему истощению, поскольку был направлен исключительно на преодоление сложившейся к 2004-2005 годам критической ситуации, связанной с аварийностью.</w:t>
      </w:r>
    </w:p>
    <w:p w:rsidR="00501739"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 этом 2-й вариант предполагает 2 способа финансирования Программы:</w:t>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за счет средств федерального </w:t>
      </w:r>
      <w:proofErr w:type="gramStart"/>
      <w:r w:rsidRPr="00092CA2">
        <w:rPr>
          <w:rFonts w:ascii="Times New Roman" w:eastAsia="Times New Roman" w:hAnsi="Times New Roman" w:cs="Times New Roman"/>
          <w:sz w:val="24"/>
          <w:szCs w:val="24"/>
          <w:lang w:eastAsia="ru-RU"/>
        </w:rPr>
        <w:t>бюджета;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w:t>
      </w:r>
      <w:proofErr w:type="gramEnd"/>
      <w:r w:rsidRPr="00092CA2">
        <w:rPr>
          <w:rFonts w:ascii="Times New Roman" w:eastAsia="Times New Roman" w:hAnsi="Times New Roman" w:cs="Times New Roman"/>
          <w:sz w:val="24"/>
          <w:szCs w:val="24"/>
          <w:lang w:eastAsia="ru-RU"/>
        </w:rPr>
        <w:t xml:space="preserve"> счет средств федерального и региональных бюджетов с привлечением внебюджетных источников.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Недостаток первого способа финансирования заключается в увеличении нагрузки на федеральный бюджет. Появится риск недофинансирования Программы в случае финансового, политического или административного кризисов. Поскольку программные мероприятия прорабатываются и согласовываются в соответствии с объемами финансирования, нехватка средств федерального бюджета негативно сказывается на степени реализации мероприятий и их результативности. Кроме того, на федеральном уровне отсутствуют полномочия по непосредственному воздействию на субъекты Российской Федерации в части установления ими в рамках своих полномочий приоритетов в реализации региональных мероприятий по обеспечению безопасности дорожного движения и их финансированию.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 способ финансирования позволит более активно вовлекать в реализацию Программы не только субъекты Российской Федерации, но и муниципальные образования, применять новые формы и механизмы финансирования за счет бюджетных средств всех уровней, осуществлять стимулирование скоординированной активности на местах с помощью соответствующих финансовых рычагов, будет способствовать скорейшему формированию единой системы мероприятий Программы на федеральном, региональном и местном уровнях. Эффективность подобного подхода доказана как в российской практике государственного управления в других сферах деятельности (административная и бюджетная реформы, приоритетные национальные проекты, программа государственной поддержки малого предпринимательства и др.), так и в решении аналогичных проблем за рубежом.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Таким образом, форма финансирования Программы с участием федерального бюджета, бюджетов субъектов Российской Федерации и средств внебюджетных источников обладает очевидными преимуществами и должна быть взята за основу.</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Второй способ финансирования направлен на комплексное, основанное на соблюдении баланса интересов, взаимной ответственности и </w:t>
      </w:r>
      <w:proofErr w:type="spellStart"/>
      <w:r w:rsidRPr="00092CA2">
        <w:rPr>
          <w:rFonts w:ascii="Times New Roman" w:eastAsia="Times New Roman" w:hAnsi="Times New Roman" w:cs="Times New Roman"/>
          <w:sz w:val="24"/>
          <w:szCs w:val="24"/>
          <w:lang w:eastAsia="ru-RU"/>
        </w:rPr>
        <w:t>скоординированности</w:t>
      </w:r>
      <w:proofErr w:type="spellEnd"/>
      <w:r w:rsidRPr="00092CA2">
        <w:rPr>
          <w:rFonts w:ascii="Times New Roman" w:eastAsia="Times New Roman" w:hAnsi="Times New Roman" w:cs="Times New Roman"/>
          <w:sz w:val="24"/>
          <w:szCs w:val="24"/>
          <w:lang w:eastAsia="ru-RU"/>
        </w:rPr>
        <w:t xml:space="preserve"> усилий государства, бизнеса и общества воздействие на конкретные, индивидуальные для каждого субъекта Российской Федерации ключевые факторы аварийности, оказывающие влияние на гибель людей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Его реализация предусматривает 3 варианта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из средств федерального бюджета и средств бюджетов субъектов Российской Федерации мероприятий Программы по строительству (реконструкции, модернизации) объектов, приобретению оборудования, специальных транспортных средств и иных материально-технических ресурсов, а также проведению информационных, обучающих и пропагандистских мероприятий в сфере обеспечения безопасности дорожного движения. При определении этих трех вариантов учитывались реальная ситуация в финансово-бюджетной сфере на федеральном и региональном уровнях, практика государственного управления в других сферах деятельности, предварительные результаты реализации </w:t>
      </w:r>
      <w:hyperlink r:id="rId41"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а также возможность решения проблемы аварийности в регионах при федеральной поддержке и вовлечении в совместную деятельность всех участников реализации Программы, в том числе субъектов Российской Федерации, муниципальных образований, частного бизнеса и общественности.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Первый вариант предполагает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мероприятий Программы в соотношении не более 50 процентов за счет средств федерального бюджета и не менее 50 процентов за счет средств бюджетов субъектов Российской Федерации и предусматривает снижение числа погибших в дорожно-транспортных происшествиях на 25 процентов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Второй вариант предполагает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мероприятий Программы в соотношении не более 70 процентов за счет средств федерального бюджета и не менее 30 процентов за счет средств бюджетов субъектов Российской Федерации и предусматривает снижение числа погибших в дорожно-транспортных происшествиях на 18,6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Третий вариант предполагает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мероприятий Программы в соотношении не более 30 процентов за счет средств федерального бюджета и не менее 70 процентов за счет средств бюджетов субъектов Российской Федерации и предусматривает снижение числа погибших в дорожно-транспортных происшествиях на 8,2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Достижение целей Программы планируется обеспечить в основном за счет реализации в субъектах Российской Федерации ключевых мероприятий по снижению дорожно-транспортного травматизма, направленных на обеспечение безопасного участия детей в дорожном движении, предупреждение опасного поведения участников дорожного движения, эффективную организацию движения транспортных средств и пешеходов, повышение безопасности дорожных условий, повышение оперативности и качества оказания медицинской помощи пострадавшим в дорожно-транспортных происшествиях. Общая потребность в финансировании указанных мероприятий с учетом средств из внебюджетных источников оценивается в размере 99023,333 млн. рублей. При этом в рамках осуществления мероприятий Программы учитывается реализация субъектами Российской Федерации мероприятий региональных программ, направленных на повышение безопасности дорожного движения, и потенциал реализации органами местного самоуправления соответствующих муниципальных целевых программ.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Различия в значениях целевых индикаторов и показателей Программы по 3 вариантам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мероприятий Программы из средств федерального бюджета и из средств бюджетов субъектов Российской Федерации определены на основе опыта реализации </w:t>
      </w:r>
      <w:hyperlink r:id="rId42"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и обусловлены разницей в объеме средств федерального бюджета в общем объеме финансирования (по первому варианту - 48700 млн. рублей, по второму варианту - 68180 млн. рублей, по третьему варианту - 29220 млн. рублей).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Опыт взаимодействия с субъектами Российской Федерации в ходе реализации </w:t>
      </w:r>
      <w:hyperlink r:id="rId43"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показал, что менее всего субъекты Российской Федерации заинтересованы в реализации мероприятий,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которых из средств федерального бюджета осуществляется в соотношении не более 30 процентов (третий вариант). При таком варианте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исключается возможность системного влияния федерального центра на установление субъектами Российской Федерации приоритетов снижения дорожно-транспортного травматизма и на обеспечение единства реализации мероприятий Программы на всей территории Российской Федерации. Следовательно, при третьем варианте в регионах будут финансироваться только </w:t>
      </w:r>
      <w:proofErr w:type="spellStart"/>
      <w:r w:rsidRPr="00092CA2">
        <w:rPr>
          <w:rFonts w:ascii="Times New Roman" w:eastAsia="Times New Roman" w:hAnsi="Times New Roman" w:cs="Times New Roman"/>
          <w:sz w:val="24"/>
          <w:szCs w:val="24"/>
          <w:lang w:eastAsia="ru-RU"/>
        </w:rPr>
        <w:t>малозатратные</w:t>
      </w:r>
      <w:proofErr w:type="spellEnd"/>
      <w:r w:rsidRPr="00092CA2">
        <w:rPr>
          <w:rFonts w:ascii="Times New Roman" w:eastAsia="Times New Roman" w:hAnsi="Times New Roman" w:cs="Times New Roman"/>
          <w:sz w:val="24"/>
          <w:szCs w:val="24"/>
          <w:lang w:eastAsia="ru-RU"/>
        </w:rPr>
        <w:t xml:space="preserve"> или </w:t>
      </w:r>
      <w:proofErr w:type="spellStart"/>
      <w:r w:rsidRPr="00092CA2">
        <w:rPr>
          <w:rFonts w:ascii="Times New Roman" w:eastAsia="Times New Roman" w:hAnsi="Times New Roman" w:cs="Times New Roman"/>
          <w:sz w:val="24"/>
          <w:szCs w:val="24"/>
          <w:lang w:eastAsia="ru-RU"/>
        </w:rPr>
        <w:t>быстроокупаемые</w:t>
      </w:r>
      <w:proofErr w:type="spellEnd"/>
      <w:r w:rsidRPr="00092CA2">
        <w:rPr>
          <w:rFonts w:ascii="Times New Roman" w:eastAsia="Times New Roman" w:hAnsi="Times New Roman" w:cs="Times New Roman"/>
          <w:sz w:val="24"/>
          <w:szCs w:val="24"/>
          <w:lang w:eastAsia="ru-RU"/>
        </w:rPr>
        <w:t xml:space="preserve"> мероприятия, то есть наиболее выгодные в конкретный момент. Скорее всего это будут мелкие локальные мероприятия, не позволяющие воздействовать на ситуацию в целом. Такой подход, по оценкам экспертов, позволит к 2020 году обеспечить снижение числа погибших в дорожно-транспортных происшествиях на 64 процента целевого значения (или на 16,1 процента по сравнению с 2010 годом</w:t>
      </w:r>
      <w:proofErr w:type="gramStart"/>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Второй</w:t>
      </w:r>
      <w:proofErr w:type="gramEnd"/>
      <w:r w:rsidRPr="00092CA2">
        <w:rPr>
          <w:rFonts w:ascii="Times New Roman" w:eastAsia="Times New Roman" w:hAnsi="Times New Roman" w:cs="Times New Roman"/>
          <w:sz w:val="24"/>
          <w:szCs w:val="24"/>
          <w:lang w:eastAsia="ru-RU"/>
        </w:rPr>
        <w:t xml:space="preserve"> вариант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мероприятий Программы лишает регионы необходимой самостоятельности в принятии решений, так как появляется излишняя централизация средств. При таком соотношении средств регионы, возможно, предпочтут участвовать в реализации капиталоемких мероприятий, связанных со строительством и реконструкцией дорожной инфраструктуры, а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только капиталоемких мероприятий скорее всего будет невозможно для </w:t>
      </w:r>
      <w:proofErr w:type="gramStart"/>
      <w:r w:rsidRPr="00092CA2">
        <w:rPr>
          <w:rFonts w:ascii="Times New Roman" w:eastAsia="Times New Roman" w:hAnsi="Times New Roman" w:cs="Times New Roman"/>
          <w:sz w:val="24"/>
          <w:szCs w:val="24"/>
          <w:lang w:eastAsia="ru-RU"/>
        </w:rPr>
        <w:t>дотационных регионов</w:t>
      </w:r>
      <w:proofErr w:type="gramEnd"/>
      <w:r w:rsidRPr="00092CA2">
        <w:rPr>
          <w:rFonts w:ascii="Times New Roman" w:eastAsia="Times New Roman" w:hAnsi="Times New Roman" w:cs="Times New Roman"/>
          <w:sz w:val="24"/>
          <w:szCs w:val="24"/>
          <w:lang w:eastAsia="ru-RU"/>
        </w:rPr>
        <w:t xml:space="preserve"> и они не смогут принять участие в Программе. В таком случае появляется риск в недофинансировании мероприятий, направленных на пропаганду безопасности дорожного движения, что опять предопределяет потерю системности в реализации Программы в целом.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Эффективность второго варианта составит 80 процентов целевого значения (снижение числа лиц, погибших в результате дорожно-транспортных происшествий, к 2020 году на 20,1 процента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Таким образом, в 2013-2020 годах при возможных вариантах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только при наличии паритета достигается наибольший эффект от реализации мероприятий Программы (снижение числа лиц, погибших в результате дорожно-транспортных происшествий в 2020 году на 25 процентов по сравнению с 2010 годом). Следовательно, только выбор первого варианта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позволит обеспечить достижение целей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Реализация мероприятий Программы может сопровождаться возникновением следующих законодательных, информационных, кадровых и иных рисков:</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правовые пробелы и противоречия в нормативно-правовой базе, ограничивающие действия и взаимодействие органов власти и их способность эффективно реагировать на ситуацию с аварийностью;</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недостаточность, а иногда и отсутствие информации о целях, направлениях и результатах деятельности в сфере обеспечения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недостаточная пропаганда безопасного дорожного движения и культурного поведения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Минимизация влияния указанных рисков на реализацию 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обеспечения безопасности дорожного движения, межведомственного и межуровневого взаимодействия, обеспечения публичности, информационной открытости и инвестиционной привлекательности Программы.</w:t>
      </w:r>
    </w:p>
    <w:p w:rsidR="0002654D" w:rsidRPr="00092CA2" w:rsidRDefault="0002654D" w:rsidP="00261615">
      <w:pPr>
        <w:spacing w:after="0" w:line="240" w:lineRule="auto"/>
        <w:ind w:firstLine="709"/>
        <w:rPr>
          <w:rFonts w:ascii="Times New Roman" w:eastAsia="Times New Roman" w:hAnsi="Times New Roman" w:cs="Times New Roman"/>
          <w:sz w:val="24"/>
          <w:szCs w:val="24"/>
          <w:lang w:eastAsia="ru-RU"/>
        </w:rPr>
      </w:pPr>
    </w:p>
    <w:p w:rsidR="0002654D"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VI. Ориентировочные сроки и этапы решения проблемы </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программно-целевым методом</w:t>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Программа рассчитана на 2013-2020 годы и будет осуществляться в 2 этапа: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1-й этап - 2013-2015 годы;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2-й этап - 2016-2020 годы.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1-м этапе Программы (2013-2015 годы) планируется реализация мероприятий, направленных: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изменение общественного отношения к проблемам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совершенствование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снижению дорожно-транспортной аварийности.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На 2-м этапе Программы (2016-2020 годы) мероприятия будут направлены преимущественно на достижение целевого состояния аварийности на российских дорогах, преодоление дисбаланса в ситуации с аварийностью в регионах и основываться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мероприятий по обеспечению безопасности дорожного движения за счет средств федерального бюджета и бюджетов субъектов Российской Федерации.</w:t>
      </w:r>
    </w:p>
    <w:p w:rsidR="0002654D" w:rsidRPr="00092CA2" w:rsidRDefault="0002654D" w:rsidP="00261615">
      <w:pPr>
        <w:spacing w:after="0" w:line="240" w:lineRule="auto"/>
        <w:ind w:firstLine="709"/>
        <w:rPr>
          <w:rFonts w:ascii="Times New Roman" w:eastAsia="Times New Roman" w:hAnsi="Times New Roman" w:cs="Times New Roman"/>
          <w:sz w:val="24"/>
          <w:szCs w:val="24"/>
          <w:lang w:eastAsia="ru-RU"/>
        </w:rPr>
      </w:pPr>
    </w:p>
    <w:p w:rsidR="0002654D" w:rsidRDefault="00795C01" w:rsidP="00261615">
      <w:pPr>
        <w:spacing w:after="0"/>
        <w:jc w:val="center"/>
        <w:rPr>
          <w:rFonts w:ascii="Times New Roman" w:hAnsi="Times New Roman" w:cs="Times New Roman"/>
          <w:b/>
          <w:sz w:val="24"/>
          <w:szCs w:val="24"/>
          <w:lang w:eastAsia="ru-RU"/>
        </w:rPr>
      </w:pPr>
      <w:r w:rsidRPr="0002654D">
        <w:rPr>
          <w:rFonts w:ascii="Times New Roman" w:hAnsi="Times New Roman" w:cs="Times New Roman"/>
          <w:b/>
          <w:sz w:val="24"/>
          <w:szCs w:val="24"/>
          <w:lang w:eastAsia="ru-RU"/>
        </w:rPr>
        <w:t xml:space="preserve">VII. Предложения по целям и задачам Программы, целевым индикаторам </w:t>
      </w:r>
    </w:p>
    <w:p w:rsidR="00795C01" w:rsidRDefault="00795C01" w:rsidP="00261615">
      <w:pPr>
        <w:spacing w:after="0"/>
        <w:jc w:val="center"/>
        <w:rPr>
          <w:rFonts w:ascii="Times New Roman" w:hAnsi="Times New Roman" w:cs="Times New Roman"/>
          <w:b/>
          <w:sz w:val="24"/>
          <w:szCs w:val="24"/>
          <w:lang w:eastAsia="ru-RU"/>
        </w:rPr>
      </w:pPr>
      <w:r w:rsidRPr="0002654D">
        <w:rPr>
          <w:rFonts w:ascii="Times New Roman" w:hAnsi="Times New Roman" w:cs="Times New Roman"/>
          <w:b/>
          <w:sz w:val="24"/>
          <w:szCs w:val="24"/>
          <w:lang w:eastAsia="ru-RU"/>
        </w:rPr>
        <w:t>и показателям, позволяющим оценивать ход реализации Программы по годам на вариантной основе</w:t>
      </w:r>
    </w:p>
    <w:p w:rsidR="0002654D" w:rsidRPr="0002654D" w:rsidRDefault="0002654D" w:rsidP="00261615">
      <w:pPr>
        <w:spacing w:after="0"/>
        <w:jc w:val="center"/>
        <w:rPr>
          <w:rFonts w:ascii="Times New Roman" w:hAnsi="Times New Roman" w:cs="Times New Roman"/>
          <w:b/>
          <w:sz w:val="24"/>
          <w:szCs w:val="24"/>
          <w:lang w:eastAsia="ru-RU"/>
        </w:rPr>
      </w:pP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Целью Программы является сокращение смертности от дорожно-транспортных происшествий к 2020 году на 25 процентов по сравнению с 2010 годом.</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предотвращение дорожно-транспортных происшествий, вероятность гибели людей в которых наиболее высока;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снижение тяжести травм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современной системы оказания помощи пострадавшим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совершенствование системы управления деятельностью по повышению безопасности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повышение правосознания и ответственности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Задачи Программы позволят создать скоординированную систему направлений деятельности и детализирующих их мероприятий по снижению дорожно-транспортного травматизма в России, а также обеспечить: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условия для грамотного, ответственного и безопасного поведения участников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переход от принципа функционального управления ресурсами к проектному финансированию конкретных направлений деятельности;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активное вовлечение в реализацию мероприятий Программы субъектов Российской Федерации, муниципальных образований и негосударственных организаций;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сотрудничество и партнерство с участием всех заинтересованных сторон в государственном, муниципальном и частном секторах с привлечением гражданского общества.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Перечень и содержание мероприятий Программы по направлениям необходимо уточнять и конкретизировать при разработке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Оценка достижения цели Программы по годам ее реализации осуществляется с использованием системы целевых индикаторов и показателей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число лиц, погибших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число детей, погибших в дорожно-транспортных происшествиях;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социальный риск (число лиц, погибших в дорожно-транспортных происшествиях, на 100 тыс. населения);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транспортный риск (число лиц, погибших в дорожно-транспортных происшествиях, на 10 тыс. транспортных средств);</w:t>
      </w:r>
    </w:p>
    <w:p w:rsidR="0002654D"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 последствий (число лиц, погибших в дорожно-транспортных происшествиях, на 100 пострадавших).</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Информационную основу построения системы соотношения цели, задачи, направлений, мероприятий составят результаты анализа состояния аварийности в Российской Федерации, деятельности в области обеспечения безопасности дорожного движения, а также социально-экономического развития страны (численность населения, количество транспортных средств, протяженность автомобильных дорог и др.), выполняемого на основе показателей государственного статистического наблюдения.</w:t>
      </w:r>
      <w:r w:rsidRPr="00092CA2">
        <w:rPr>
          <w:rFonts w:ascii="Times New Roman" w:eastAsia="Times New Roman" w:hAnsi="Times New Roman" w:cs="Times New Roman"/>
          <w:sz w:val="24"/>
          <w:szCs w:val="24"/>
          <w:lang w:eastAsia="ru-RU"/>
        </w:rPr>
        <w:br/>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Целевые индикаторы и показатели Программы представлены в приложении N 1. Целевые индикаторы и показатели Программы могут быть уточнены в рамках разработки Программы.</w:t>
      </w:r>
    </w:p>
    <w:p w:rsidR="0002654D" w:rsidRPr="00092CA2" w:rsidRDefault="0002654D" w:rsidP="00261615">
      <w:pPr>
        <w:spacing w:after="0" w:line="240" w:lineRule="auto"/>
        <w:ind w:firstLine="709"/>
        <w:rPr>
          <w:rFonts w:ascii="Times New Roman" w:eastAsia="Times New Roman" w:hAnsi="Times New Roman" w:cs="Times New Roman"/>
          <w:sz w:val="24"/>
          <w:szCs w:val="24"/>
          <w:lang w:eastAsia="ru-RU"/>
        </w:rPr>
      </w:pPr>
    </w:p>
    <w:p w:rsidR="0002654D"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VIII. Предложения по объемам и источникам финансирования </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Программы в целом и отдельных ее направлений на вариантной основе</w:t>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Предельные (прогнозные) объемы финансирования Программы за счет средств федерального бюджета, бюджетов субъектов Российской Федерации и иных источников по направлениям представлены в приложении N 2. Предельные (прогнозные) объемы финансирования Программы за счет средств федерального бюджета, бюджетов субъектов Российской Федерации и иных источников по годам представлены в приложении N 3. </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В качестве оптимального принимается первый вариант финансирования Программы, обеспечивающий достижение цели Программы и соответствующих значений целевых индикаторов и показателей.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Расчет прогнозных значений показателя, касающегося числа лиц, погибших в дорожно-транспортных происшествиях, показывает, что при принятии Программы его значение в 2020 году должно снизиться до уровня 19925 человек, в условиях отсутствия программно-целевого подхода к решению проблем обеспечения безопасности дорожного движения смертность на дорогах страны к 2020 году повысится до уровня 32,5 тыс. человек в год. Таким образом, реализация Программы позволит в сравнении с инерционным сценарием (без федеральной целевой программы) обеспечить в 2013-2020 годах сохранение жизней 67587 человек, что в 2,314 раза больше, чем снижение числа погибших в дорожно-транспортных происшествиях за годы реализации </w:t>
      </w:r>
      <w:hyperlink r:id="rId44"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(29,2 тыс. человек).</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Общий объем финансирования </w:t>
      </w:r>
      <w:hyperlink r:id="rId45" w:history="1">
        <w:r w:rsidRPr="00092CA2">
          <w:rPr>
            <w:rFonts w:ascii="Times New Roman" w:eastAsia="Times New Roman" w:hAnsi="Times New Roman" w:cs="Times New Roman"/>
            <w:color w:val="0000FF"/>
            <w:sz w:val="24"/>
            <w:szCs w:val="24"/>
            <w:u w:val="single"/>
            <w:lang w:eastAsia="ru-RU"/>
          </w:rPr>
          <w:t>федеральной целевой программы "Повышение безопасности дорожного движения в 2006-2012 годах"</w:t>
        </w:r>
      </w:hyperlink>
      <w:r w:rsidRPr="00092CA2">
        <w:rPr>
          <w:rFonts w:ascii="Times New Roman" w:eastAsia="Times New Roman" w:hAnsi="Times New Roman" w:cs="Times New Roman"/>
          <w:sz w:val="24"/>
          <w:szCs w:val="24"/>
          <w:lang w:eastAsia="ru-RU"/>
        </w:rPr>
        <w:t xml:space="preserve"> за счет средств федерального бюджета составляет 21049,01 млн. рублей. В пересчете на рассчитанный коэффициент 2,314 потребность в финансовых ресурсах из федерального бюджета, необходимых для реализации мероприятий Программы, определяется в размере 48700 млн. рублей. Таким образом, для обеспечения достижения в 2020 году целевого состояния дорожно-транспортной аварийности предельная (прогнозная) стоимость мероприятий Программы составляет 99023,333 млн. рублей, из них за счет средств федерального бюджета и бюджетов субъектов Российской Федерации - 97400 млн. рублей, за счет средств внебюджетных источников - 1623,333 млн. рублей. При этом размеры бюджетных ассигнований федерального бюджета ежегодно корректируются и доводятся главным распорядителям средств федерального бюджета исходя из приоритетов социально-экономического развития и расширения механизмов государственно-частного партнерства.</w:t>
      </w:r>
    </w:p>
    <w:p w:rsidR="0002654D" w:rsidRPr="00092CA2" w:rsidRDefault="0002654D" w:rsidP="00261615">
      <w:pPr>
        <w:spacing w:after="0" w:line="240" w:lineRule="auto"/>
        <w:ind w:firstLine="709"/>
        <w:jc w:val="center"/>
        <w:rPr>
          <w:rFonts w:ascii="Times New Roman" w:eastAsia="Times New Roman" w:hAnsi="Times New Roman" w:cs="Times New Roman"/>
          <w:sz w:val="24"/>
          <w:szCs w:val="24"/>
          <w:lang w:eastAsia="ru-RU"/>
        </w:rPr>
      </w:pPr>
    </w:p>
    <w:p w:rsidR="0002654D"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IX. Предварительная оценка ожидаемой эффективности</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и результативности предлагаемого варианта решения проблемы</w:t>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Эффективность и результативность реализации Программы заключается в сохранении жизней участников дорожного движения и в предотвращении социально-экономического и демографического ущерба от дорожно-транспортных происшествий и их последствий.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Согласно первому варианту реализации сценарных условий за период реализации Программы предусматривается обеспечить:</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сохранение жизней 67587 человек;</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предотвращение дополнительного социально-экономического ущерба от дорожно-транспортных происшествий и их последствий в размере 2828,7 млрд. рублей;</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приток негосударственных инвестиций в сферу обеспечения безопасности дорожного движения в размере 1623,333 млн. рублей, в том числе за счет разработки и внедрения инструментов государственно-частного партнерства;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приближение уровня дорожно-транспортной аварийности в Российской Федерации к уровню развитых стран мира.</w:t>
      </w:r>
    </w:p>
    <w:p w:rsidR="0002654D" w:rsidRPr="00092CA2" w:rsidRDefault="0002654D" w:rsidP="00261615">
      <w:pPr>
        <w:spacing w:after="0" w:line="240" w:lineRule="auto"/>
        <w:ind w:firstLine="709"/>
        <w:rPr>
          <w:rFonts w:ascii="Times New Roman" w:eastAsia="Times New Roman" w:hAnsi="Times New Roman" w:cs="Times New Roman"/>
          <w:sz w:val="24"/>
          <w:szCs w:val="24"/>
          <w:lang w:eastAsia="ru-RU"/>
        </w:rPr>
      </w:pPr>
    </w:p>
    <w:p w:rsidR="0002654D"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X. Предложения по участию федеральных органов исполнительной власти, </w:t>
      </w: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ответственных за формирование и реализацию Программы</w:t>
      </w:r>
    </w:p>
    <w:p w:rsidR="00795C01"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Ответственными за формирование и реализацию Программы, целевое и эффективное использование бюджетных средств являются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и Федеральное дорожное агентство.</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Указанные федеральные органы исполнительной власти осуществляют функции государственных заказчиков Программы по реализации основных функциональных направлений выполнения мероприятий Программы в пределах своей компетенции. Контроль за реализацией мероприятий Программы в целом осуществляет Министерство внутренних дел Российской Федерации, выполняющее функции государственного заказчика - координатора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Закрепление мероприятий Программы за каждым из государственных заказчиков Программы будет осуществлено в ходе ее подготовки исходя из соответствующих правоустанавливающих документов.</w:t>
      </w:r>
    </w:p>
    <w:p w:rsidR="00261615" w:rsidRPr="00092CA2" w:rsidRDefault="00261615" w:rsidP="00261615">
      <w:pPr>
        <w:spacing w:after="0" w:line="240" w:lineRule="auto"/>
        <w:ind w:firstLine="709"/>
        <w:rPr>
          <w:rFonts w:ascii="Times New Roman" w:eastAsia="Times New Roman" w:hAnsi="Times New Roman" w:cs="Times New Roman"/>
          <w:sz w:val="24"/>
          <w:szCs w:val="24"/>
          <w:lang w:eastAsia="ru-RU"/>
        </w:rPr>
      </w:pPr>
    </w:p>
    <w:p w:rsidR="00795C01" w:rsidRPr="00092CA2"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 Предложения по государственным заказчикам и разработчикам Программы</w:t>
      </w:r>
    </w:p>
    <w:p w:rsidR="00261615" w:rsidRDefault="00261615" w:rsidP="00261615">
      <w:pPr>
        <w:spacing w:after="0" w:line="240" w:lineRule="auto"/>
        <w:ind w:firstLine="709"/>
        <w:rPr>
          <w:rFonts w:ascii="Times New Roman" w:eastAsia="Times New Roman" w:hAnsi="Times New Roman" w:cs="Times New Roman"/>
          <w:sz w:val="24"/>
          <w:szCs w:val="24"/>
          <w:lang w:eastAsia="ru-RU"/>
        </w:rPr>
      </w:pP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Предлагается определить:</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 заказчиком - координатором Программы Министерство внутренних дел Российской Федерации;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Программы -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и Федеральное дорожное агентство;</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разработчиками Программы -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Министерство здравоохранения Российской Федерации, Министерство образования и науки Российской Федерации, Министерство промышленности и торговли Российской Федерации, Министерство транспорта Российской Федерации, Федеральное дорожное агентство и федеральное казенное учреждение "Научно-исследовательский центр проблем безопасности дорожного движения Министерства внутренних дел Российской Федерации".</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 разработке Программы необходимо привлекать представителей общественных объединений и научных организаций.</w:t>
      </w:r>
    </w:p>
    <w:p w:rsidR="00261615"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XII. Предложения по направлениям, срокам и этапам реализации </w:t>
      </w:r>
    </w:p>
    <w:p w:rsidR="00795C01"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Программы на вариантной основе</w:t>
      </w:r>
    </w:p>
    <w:p w:rsidR="00261615" w:rsidRPr="00092CA2" w:rsidRDefault="00261615" w:rsidP="00261615">
      <w:pPr>
        <w:spacing w:after="0" w:line="240" w:lineRule="auto"/>
        <w:jc w:val="center"/>
        <w:outlineLvl w:val="2"/>
        <w:rPr>
          <w:rFonts w:ascii="Times New Roman" w:eastAsia="Times New Roman" w:hAnsi="Times New Roman" w:cs="Times New Roman"/>
          <w:b/>
          <w:bCs/>
          <w:sz w:val="24"/>
          <w:szCs w:val="24"/>
          <w:lang w:eastAsia="ru-RU"/>
        </w:rPr>
      </w:pP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Финансирование мероприятий Программы осуществляется за счет средств федерального бюджета, средств бюджетов субъектов Российской Федерации и внебюджетных источников. Комплекс мероприятий Программы формируется и финансируется по статьям расходов на научно-исследовательские и опытно-конструкторские работы, капитальные вложения и прочие нужды по направлениям Программы.</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На основе ретроспективного анализа изменения в 1996-2010 годах значения показателя числа лиц, погибших в результате дорожно-транспортных происшествий, структурного анализа этого показателя по факторам, вызывающим дорожно-транспортные происшествия, и прогноза динамики аварийности до 2020 года определен ряд направлений Программы, способных улучшить ситуацию, связанную с дорожно-транспортной аварийностью в России.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 xml:space="preserve">Направление по развитию системы предупреждения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дорожно-транспортным происшествиям, повышение культуры на дорогах, создание в обществе нетерпимости к фактам пренебрежения социально-правовыми нормами и правового нигилизма на дороге, совершенствование и развитие систем подготовки водителей транспортных средств, обеспечение соблюдения участниками дорожного движения требований </w:t>
      </w:r>
      <w:hyperlink r:id="rId46" w:history="1">
        <w:r w:rsidRPr="00092CA2">
          <w:rPr>
            <w:rFonts w:ascii="Times New Roman" w:eastAsia="Times New Roman" w:hAnsi="Times New Roman" w:cs="Times New Roman"/>
            <w:color w:val="0000FF"/>
            <w:sz w:val="24"/>
            <w:szCs w:val="24"/>
            <w:u w:val="single"/>
            <w:lang w:eastAsia="ru-RU"/>
          </w:rPr>
          <w:t>Правил дорожного движения</w:t>
        </w:r>
      </w:hyperlink>
      <w:r w:rsidRPr="00092CA2">
        <w:rPr>
          <w:rFonts w:ascii="Times New Roman" w:eastAsia="Times New Roman" w:hAnsi="Times New Roman" w:cs="Times New Roman"/>
          <w:sz w:val="24"/>
          <w:szCs w:val="24"/>
          <w:lang w:eastAsia="ru-RU"/>
        </w:rPr>
        <w:t>, в том числе с применением систем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образования и науки Российской Федерации, Министерство здравоохранения Российской Федерации и Министерство транспорта Российской Федерации.</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Основными мероприятиями по этому направлению являются: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развитие системы информационного воздействия на население в целях формирования негативного отношения к правонарушениям в сфере дорожного движения;</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проведение пропагандистских кампаний, направленных на формирование у участников дорожного движения стереотипов законопослушного поведения и понимания неотвратимости наказания;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продолжение создания тематических телепередач по пропаганде культуры поведения участников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вовлечение в информационную и профилактическую деятельность автотранспортных предприятий, страховых организаций, автошкол, общественных и профессиональных объединений;</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законодательных, организационных и методологических основ и создание сети центров по подготовке водителей транспортных средств;</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улучшение качества контроля за соблюдением водителями и пешеходами требований безопасности дорожного движения, а также повышение ответственности водителей и пешеходов за нарушение требований безопасности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Направление по обеспечению безопасного участия детей в дорожном движении предусматривает обучение детей и подростков </w:t>
      </w:r>
      <w:hyperlink r:id="rId47" w:history="1">
        <w:r w:rsidRPr="00092CA2">
          <w:rPr>
            <w:rFonts w:ascii="Times New Roman" w:eastAsia="Times New Roman" w:hAnsi="Times New Roman" w:cs="Times New Roman"/>
            <w:color w:val="0000FF"/>
            <w:sz w:val="24"/>
            <w:szCs w:val="24"/>
            <w:u w:val="single"/>
            <w:lang w:eastAsia="ru-RU"/>
          </w:rPr>
          <w:t>Правилам дорожного движения</w:t>
        </w:r>
      </w:hyperlink>
      <w:r w:rsidRPr="00092CA2">
        <w:rPr>
          <w:rFonts w:ascii="Times New Roman" w:eastAsia="Times New Roman" w:hAnsi="Times New Roman" w:cs="Times New Roman"/>
          <w:sz w:val="24"/>
          <w:szCs w:val="24"/>
          <w:lang w:eastAsia="ru-RU"/>
        </w:rPr>
        <w:t>,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мероприятий этого направления предлагается определить Министерство внутренних дел Российской Федерации и Министерство образования и науки Российской Федерации.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создание федеральных экспериментальных центров (полигонов) "Детский </w:t>
      </w:r>
      <w:proofErr w:type="spellStart"/>
      <w:r w:rsidRPr="00092CA2">
        <w:rPr>
          <w:rFonts w:ascii="Times New Roman" w:eastAsia="Times New Roman" w:hAnsi="Times New Roman" w:cs="Times New Roman"/>
          <w:sz w:val="24"/>
          <w:szCs w:val="24"/>
          <w:lang w:eastAsia="ru-RU"/>
        </w:rPr>
        <w:t>автогород</w:t>
      </w:r>
      <w:proofErr w:type="spellEnd"/>
      <w:r w:rsidRPr="00092CA2">
        <w:rPr>
          <w:rFonts w:ascii="Times New Roman" w:eastAsia="Times New Roman" w:hAnsi="Times New Roman" w:cs="Times New Roman"/>
          <w:sz w:val="24"/>
          <w:szCs w:val="24"/>
          <w:lang w:eastAsia="ru-RU"/>
        </w:rPr>
        <w:t>";</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развитие в каждом субъекте Российской Федерации сети базовых, муниципальных и мобильных детских </w:t>
      </w:r>
      <w:proofErr w:type="spellStart"/>
      <w:r w:rsidRPr="00092CA2">
        <w:rPr>
          <w:rFonts w:ascii="Times New Roman" w:eastAsia="Times New Roman" w:hAnsi="Times New Roman" w:cs="Times New Roman"/>
          <w:sz w:val="24"/>
          <w:szCs w:val="24"/>
          <w:lang w:eastAsia="ru-RU"/>
        </w:rPr>
        <w:t>автогородков</w:t>
      </w:r>
      <w:proofErr w:type="spellEnd"/>
      <w:r w:rsidRPr="00092CA2">
        <w:rPr>
          <w:rFonts w:ascii="Times New Roman" w:eastAsia="Times New Roman" w:hAnsi="Times New Roman" w:cs="Times New Roman"/>
          <w:sz w:val="24"/>
          <w:szCs w:val="24"/>
          <w:lang w:eastAsia="ru-RU"/>
        </w:rPr>
        <w:t>, учебных площадок и учебно-методических центров сопровождения деятельности по профилактике детского дорожно-транспортного травматизма и оснащение их техническими средствами и научно-методическими материалами;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проведение широкомасштабных акций "Внимание - дети!", "Внимание - пешеход!", "Вежливый водитель", "Зебра" и др.;</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продолжение организации работы по профилактике детского дорожно-транспортного травматизма в детских дошкольных учреждениях и школах (создание уголков и кабинетов безопасности дорожного движения, подготовка учебных программ и методических материалов для проведения занятий с детьми по безопасному участию в дорожном движении, подготовка и повышение квалификации преподавателей, организация внеклассной работы и др.);</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организация и стандартизация перевозок детей специализированными транспортными средствами ("школьный автобус").</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Направление по повышению уровня технического состояния </w:t>
      </w:r>
      <w:proofErr w:type="spellStart"/>
      <w:r w:rsidRPr="00092CA2">
        <w:rPr>
          <w:rFonts w:ascii="Times New Roman" w:eastAsia="Times New Roman" w:hAnsi="Times New Roman" w:cs="Times New Roman"/>
          <w:sz w:val="24"/>
          <w:szCs w:val="24"/>
          <w:lang w:eastAsia="ru-RU"/>
        </w:rPr>
        <w:t>эксплуатирующихся</w:t>
      </w:r>
      <w:proofErr w:type="spellEnd"/>
      <w:r w:rsidRPr="00092CA2">
        <w:rPr>
          <w:rFonts w:ascii="Times New Roman" w:eastAsia="Times New Roman" w:hAnsi="Times New Roman" w:cs="Times New Roman"/>
          <w:sz w:val="24"/>
          <w:szCs w:val="24"/>
          <w:lang w:eastAsia="ru-RU"/>
        </w:rPr>
        <w:t xml:space="preserve"> транспортных средств, их активной и пассивной безопасности предусматривает стимулирование внедрения и использования новых технологий для минимизации человеческой ошибки при управлении транспортным средством, обеспечение мер поддержания транспортных средств в технически исправном состоянии, а также внедрение современных средств активной и пассивной безопасности транспортных средств.</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промышленности и торговли Российской Федерации и Министерство транспорта Российской Федерации.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требований к конструктивной, активной и пассивной безопасности транспортных средств;</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совершенствование системы подготовки и непрерывного повышения квалификации специалистов, ответственных за обеспечение безопасного функционирования автомобильного транспорта;</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внедрение интеллектуальных транспортных систем на автомобильном транспорте;</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оснащение уполномоченных специалистов техническими средствами контроля за соблюдением владельцами транспортных средств установленных требований по параметрам перевозок при использовании цифровых </w:t>
      </w:r>
      <w:proofErr w:type="spellStart"/>
      <w:r w:rsidRPr="00092CA2">
        <w:rPr>
          <w:rFonts w:ascii="Times New Roman" w:eastAsia="Times New Roman" w:hAnsi="Times New Roman" w:cs="Times New Roman"/>
          <w:sz w:val="24"/>
          <w:szCs w:val="24"/>
          <w:lang w:eastAsia="ru-RU"/>
        </w:rPr>
        <w:t>тахографов;</w:t>
      </w:r>
      <w:proofErr w:type="spellEnd"/>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реализация мер поддержания транспортных средств в технически исправном состоянии, а также ужесточение контроля за техническим состоянием транспортных средств и их безопасностью.</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Направление по развитию системы организации движения транспортных средств и пешеходов и повышению безопасности дорожных условий предусматривает обеспечение безопасного участия пешеходов в дорожном движении, устранение и профилактику возникновения опасных участков дорожного движения, пробок и заторов, организацию транспортного планирования с целью обеспечения безопасного и эффективного трафика, развитие интеллектуальных транспортных систем, обеспечение пассивной и послеаварийной безопасности дорог и дорожной инфраструктуры.</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транспорта Российской Федерации и Федеральное дорожное агентство.</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методик определения и ликвидации наиболее опасных участков дорог и планирование дорожных сетей с учетом требований их безопасности;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эффективных схем, методов и средств организации дорожного движения и требований к техническим средствам организации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требований к транспортному планированию городов (в том числе в части определения мест для стоянок и парковок), обеспечивающему безопасное участие в дорожном движении транспортных средств и пешеходов;</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создание условий для обеспечения своевременности прибытия служб на место дорожно-транспортного происшествия;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внедрение стандартов соответствия транспортной инфраструктуры требованиям качества и безопасности участников дорожного движения, а также стандартов ее обслуживания;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создание единых центров управления дорожным движением.</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Направление по развитию системы оказания помощи пострадавшим в дорожно-транспортных происшествиях предусматривает обеспечение оперативности и качества оказания медицинской помощи пострадавшим в дорожно-транспортных происшествиях, обеспечение территориальной доступности медицинских учреждений, повышение уровня координации служб, участвующих в оказании помощи пострадавшим в дорожно-транспортных происшествиях, а также внедрение новых технологий в сферу оказания первой помощи пострадавшим в дорожно-транспортных происшествиях.</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мероприятий этого направления предлагается определить Министерство внутренних дел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и Министерство здравоохранения Российской Федерации.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организация и проведение курсов оказания помощи пострадавшим в дорожно-транспортных происшествиях;</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комплекса современных образцов компьютерных тренажеров, мультимедийных средств и анимационных фильмов для обучения участников дорожного движения и специалистов экстренных служб практическим навыкам оказания помощи пострадавшим и ликвидации последствий дорожно-транспортных происшествий;</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внедрение новых технологий и методов оказания первой и экстренной медицинской помощи;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проведение тактико-специальных учений по вопросам взаимодействия служб, привлекаемых к оказанию помощи пострадавшим и ликвидации последствий дорожно-транспортных происшествий;</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оборудование улично-дорожной сети устройствами аварийно-вызывной связи;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инфраструктуры оказания помощи пострадавшим в дорожно-транспортных происшествиях;</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разработка и издание учебно-методических пособий и комплектов плакатов по оказанию </w:t>
      </w:r>
      <w:proofErr w:type="gramStart"/>
      <w:r w:rsidRPr="00092CA2">
        <w:rPr>
          <w:rFonts w:ascii="Times New Roman" w:eastAsia="Times New Roman" w:hAnsi="Times New Roman" w:cs="Times New Roman"/>
          <w:sz w:val="24"/>
          <w:szCs w:val="24"/>
          <w:lang w:eastAsia="ru-RU"/>
        </w:rPr>
        <w:t>помощи</w:t>
      </w:r>
      <w:proofErr w:type="gramEnd"/>
      <w:r w:rsidRPr="00092CA2">
        <w:rPr>
          <w:rFonts w:ascii="Times New Roman" w:eastAsia="Times New Roman" w:hAnsi="Times New Roman" w:cs="Times New Roman"/>
          <w:sz w:val="24"/>
          <w:szCs w:val="24"/>
          <w:lang w:eastAsia="ru-RU"/>
        </w:rPr>
        <w:t xml:space="preserve"> пострадавшим в дорожно-транспортных происшествиях.</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Направление по совершенствованию нормативно-правового, организационного и методического обеспечения деятельности в сфере обеспечения безопасности дорожного движения предусматривает в указанной сфере устранение пробелов в законодательстве, разработку и внедрение практических инструментов реализации государственной политики, продолжение формирования основ институциональных преобразований, повышение имиджа Российской Федерации на мировой арене.</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Государственными заказчиками мероприятий этого направления предлагается определить Министерство внутренних дел Российской Федерации и Министерство транспорта Российской Федерации.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Основными мероприятиями по этому направлению являются: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совершенствование межведомственного, межуровневого сотрудничества и координации взаимодействия органов власти и органов местного самоуправления в сфере обеспечения безопасности дорожного движения, а также разработка и внедрение эффективных механизмов взаимодействия с субъектами Российской Федерации и муниципальными образованиями и принципов субсидиарной ответственности всех уровней власти за результативность деятельности по обеспечению безопасности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внедрение эффективных механизмов координации и контроля программной деятельности по повышению безопасности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институтов саморегулируемых организаций;</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внедрение информационно-коммуникационных технологий в деятельность по обеспечению безопасности дорожного движения, а также развитие многопараметрической информационно-аналитической системы прогнозирования и моделирования ситуации в области обеспечения безопасности дорожного движения;</w:t>
      </w:r>
    </w:p>
    <w:p w:rsidR="00795C01" w:rsidRPr="00092CA2"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создание в каждом субъекте Российской Федерации центров </w:t>
      </w:r>
      <w:proofErr w:type="spellStart"/>
      <w:r w:rsidRPr="00092CA2">
        <w:rPr>
          <w:rFonts w:ascii="Times New Roman" w:eastAsia="Times New Roman" w:hAnsi="Times New Roman" w:cs="Times New Roman"/>
          <w:sz w:val="24"/>
          <w:szCs w:val="24"/>
          <w:lang w:eastAsia="ru-RU"/>
        </w:rPr>
        <w:t>фотовидеофиксации</w:t>
      </w:r>
      <w:proofErr w:type="spellEnd"/>
      <w:r w:rsidRPr="00092CA2">
        <w:rPr>
          <w:rFonts w:ascii="Times New Roman" w:eastAsia="Times New Roman" w:hAnsi="Times New Roman" w:cs="Times New Roman"/>
          <w:sz w:val="24"/>
          <w:szCs w:val="24"/>
          <w:lang w:eastAsia="ru-RU"/>
        </w:rPr>
        <w:t xml:space="preserve"> административных правонарушений в области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1-м этапе Программы планируется реализация следующих мероприятий:</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сокращение влияния наиболее весомых факторов, вызывающих дорожно-транспортную аварийность и снижающих возможность и качество оказания медицинской помощи пострадавшим в дорожно-транспортных происшествиях;</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изменение общественного отношения к проблемам безопасности дорожного движения;</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стимулирование ответственности федеральных органов исполнительной власти, органов исполнительной власти субъектов Российской Федерации и органов местного самоуправления за снижение дорожно-транспортной аварийности;</w:t>
      </w:r>
    </w:p>
    <w:p w:rsidR="00261615" w:rsidRDefault="00795C01" w:rsidP="00261615">
      <w:pPr>
        <w:spacing w:after="0" w:line="240" w:lineRule="auto"/>
        <w:ind w:firstLine="709"/>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совершенствование механизмов работы с субъектами Российской Федерации.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На 2-м этапе Программы предусматривается реализация мероприятий, которые направлены на продолжение поступательного достижения целевого состояния аварийности на российских дорогах и преодоление дисбаланса в ситуации, связанной с аварийностью в регионах, и основаны на дифференцированном подходе к задачам по снижению дорожно-транспортного травматизма для каждого субъекта Российской Федерации и экономически выгодных механизмах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мероприятий по обеспечению безопасности дорожного движения за счет средств федерального бюджета и бюджетов субъектов Российской Федерации.</w:t>
      </w:r>
    </w:p>
    <w:p w:rsidR="00795C01" w:rsidRPr="00092CA2"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Объемы, источники и направления финансирования Программы на вариантной основе приведены в приложениях N 2 и 3 к настоящей Концепции.</w:t>
      </w: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795C01"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XIII. Предложения по механизмам формирования мероприятий Программы</w:t>
      </w:r>
    </w:p>
    <w:p w:rsidR="00261615" w:rsidRPr="00092CA2" w:rsidRDefault="00261615" w:rsidP="00261615">
      <w:pPr>
        <w:spacing w:after="0" w:line="240" w:lineRule="auto"/>
        <w:jc w:val="center"/>
        <w:outlineLvl w:val="2"/>
        <w:rPr>
          <w:rFonts w:ascii="Times New Roman" w:eastAsia="Times New Roman" w:hAnsi="Times New Roman" w:cs="Times New Roman"/>
          <w:b/>
          <w:bCs/>
          <w:sz w:val="24"/>
          <w:szCs w:val="24"/>
          <w:lang w:eastAsia="ru-RU"/>
        </w:rPr>
      </w:pP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Мероприятия Программы формируются государственным заказчиком - координатором Программы на основе предложений федеральных органов исполнительной власти - государственных заказчиков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Государственный заказчик - координатор Программы осуществляет экспертизу представленных предложений и заявок, при необходимости направляет их на доработку, а также организует проведение согласительных процедур при наличии разногласий по отдельным мероприятиям с предложившими их органами или организациями.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Отбор мероприятий для включения в Программу осуществляется государственным заказчиком - координатором Программы исходя из оценки степени достижения поставленных целей и решения задач с учетом ограничений статей расходов, источников финансирования и сроков реализации.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этапе формирования перечня мероприятий государственные заказчики и разработчики Программы осуществляют анализ возможности привлечения к их реализации максимально широкого круга исполнителей. Государственный заказчик - координатор Программы при необходимости создает экспертный совет в составе представителей бизнес-сообщества, вузов, научных и общественных организаций для осуществления экспертизы предлагаемых мероприятий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Мероприятия Программы будут сформированы с использованием следующих принципов:</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нацеленность мероприятий на сохранение жизней и здоровья участников дорожного движения;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координация мероприятий с основными стратегическими и программными документами, международными договорами и соглашениями Российской Федерации;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преемственности целевых ориентиров в деятельности по повышению безопасности дорожного движения;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дифференцированный и адресный подход к реализации мероприятий Программы в субъектах Российской Федерации;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широкое использование международного опыта и осуществление совместных интеграционных проектов в сфере обеспечения безопасности дорожного движения;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системная регламентация деятельности и межведомственного взаимодействия в сфере обеспечения безопасности дорожного движения;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дальнейшее совершенствование системы управления и обеспечение межведомственной и межуровневой синхронизации текущей и программной деятельности в области обеспечения безопасности дорожного движения на федеральном, региональном и муниципальном уровнях.</w:t>
      </w:r>
    </w:p>
    <w:p w:rsidR="00795C01"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Государственные заказчики Программы осуществляют мониторинг эффективности реализации ее мероприятий, готовят (при необходимости) предложения о корректировке перечня, содержания и объемов финансирования мероприятий, осуществляют ежегодное уточнение целевых показателей и затрат с учетом выделенных на реализацию Программы средств.</w:t>
      </w:r>
    </w:p>
    <w:p w:rsidR="00261615" w:rsidRPr="00092CA2" w:rsidRDefault="00261615" w:rsidP="00261615">
      <w:pPr>
        <w:spacing w:after="0" w:line="240" w:lineRule="auto"/>
        <w:ind w:firstLine="709"/>
        <w:jc w:val="both"/>
        <w:rPr>
          <w:rFonts w:ascii="Times New Roman" w:eastAsia="Times New Roman" w:hAnsi="Times New Roman" w:cs="Times New Roman"/>
          <w:sz w:val="24"/>
          <w:szCs w:val="24"/>
          <w:lang w:eastAsia="ru-RU"/>
        </w:rPr>
      </w:pPr>
    </w:p>
    <w:p w:rsidR="00261615"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XIV. Предложения по возможным вариантам форм и методов </w:t>
      </w:r>
    </w:p>
    <w:p w:rsidR="00795C01" w:rsidRDefault="00795C01" w:rsidP="00261615">
      <w:pPr>
        <w:spacing w:after="0" w:line="240" w:lineRule="auto"/>
        <w:jc w:val="center"/>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управления реализацией Программы</w:t>
      </w:r>
    </w:p>
    <w:p w:rsidR="00261615" w:rsidRPr="00092CA2" w:rsidRDefault="00261615" w:rsidP="00261615">
      <w:pPr>
        <w:spacing w:after="0" w:line="240" w:lineRule="auto"/>
        <w:jc w:val="center"/>
        <w:outlineLvl w:val="2"/>
        <w:rPr>
          <w:rFonts w:ascii="Times New Roman" w:eastAsia="Times New Roman" w:hAnsi="Times New Roman" w:cs="Times New Roman"/>
          <w:b/>
          <w:bCs/>
          <w:sz w:val="24"/>
          <w:szCs w:val="24"/>
          <w:lang w:eastAsia="ru-RU"/>
        </w:rPr>
      </w:pP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Механизм реализации Программы базируется на принципах партнерства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организаций и бизнес-сообщества, а также разграничения полномочий и ответственности всех участников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Управление реализацией Программы будет осуществляться на 3 уровнях - стратегическом, тактическом и оперативном.</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Метод жесткой централизации управления и метод полной децентрализации управления реализацией Программы на тактическом и оперативном уровнях управления являются наименее предпочтительными для достижения заявленных целей.</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первом случае неизбежны высокая бюрократизация системы управления реализацией Программы вследствие сосредоточения всех информационных потоков в одном месте, риск искажения реальных результатов деятельности государственных заказчиков, вероятность снижения их инициативы, что в конечном счете приведет к потере управляемости процесса реализации Программы вследствие неспособности государственного заказчика - координатора Программы оперативно принимать эффективные решения ввиду значительной нагрузки на аппарат управления.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 полной децентрализации управления реализацией Программы роль государственного заказчика - координатора Программы сводится к общей координации деятельности государственных заказчиков Программы на основе отчетной информации, что в условиях множественности субъектов взаимодействия и несогласованности их действий также может привести к потере управляемости процесса реализации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Наиболее предпочтительным методом управления Программой является смешанный метод, позволяющий избежать недостатков, присущих методу жесткой централизации и методу полной децентрализации управления, и учесть их преимущества, включающие:</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управления реализацией Программы без излишней бюрократизации;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учет интересов государственных заказчиков Программы при принятии важных решений на тактическом уровне при одновременном обеспечении высокой эффективности их деятельности и взаимодействия;</w:t>
      </w:r>
    </w:p>
    <w:p w:rsidR="00795C01" w:rsidRPr="00092CA2"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предоставление государственным заказчикам Программы необходимой и достаточной самостоятельности в процессе текущего управления реализацией Программы при одновременном осуществлении государственным заказчиком - координатором Программы оперативного контроля за выполнением комплексных мероприятий.</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Использование этого метода предполагает разделение функций по координации деятельности по обеспечению безопасности дорожного движения и деятельности органов управления реализацией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стратегическом уровне функции по координации деятельности федеральных органов исполнительной власти и органов исполнительной власти субъектов Российской Федерации в области обеспечения безопасности дорожного движения, а также по совершенствованию механизмов координации их деятельности целесообразно разделить между государственным заказчиком - координатором Программы и Правительственной комиссией по обеспечению безопасности дорожного движения.</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тактическом уровне функции по организации взаимодействия с государственными заказчиками Программы разделяются между государственным заказчиком - координатором и дирекцией Программы, создаваемой Правительством Российской Федерации для осуществления текущей деятельности по управлению реализацией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На оперативном уровне управления государственные заказчики Программы самостоятельно осуществляют текущее управление ее реализацией.</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Для эффективной реализации Программы в субъектах Российской Федерации может быть использован следующий механизм </w:t>
      </w:r>
      <w:proofErr w:type="spellStart"/>
      <w:r w:rsidRPr="00092CA2">
        <w:rPr>
          <w:rFonts w:ascii="Times New Roman" w:eastAsia="Times New Roman" w:hAnsi="Times New Roman" w:cs="Times New Roman"/>
          <w:sz w:val="24"/>
          <w:szCs w:val="24"/>
          <w:lang w:eastAsia="ru-RU"/>
        </w:rPr>
        <w:t>софинансирования</w:t>
      </w:r>
      <w:proofErr w:type="spellEnd"/>
      <w:r w:rsidRPr="00092CA2">
        <w:rPr>
          <w:rFonts w:ascii="Times New Roman" w:eastAsia="Times New Roman" w:hAnsi="Times New Roman" w:cs="Times New Roman"/>
          <w:sz w:val="24"/>
          <w:szCs w:val="24"/>
          <w:lang w:eastAsia="ru-RU"/>
        </w:rPr>
        <w:t xml:space="preserve"> мероприятий:</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определение уполномоченным органом перечня приоритетных направлений по снижению дорожно-транспортного травматизма (в том числе в региональном разрезе);</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разработка субъектами Российской Федерации обеспеченных бюджетным финансированием целевых программ реализации актуальных для субъекта Российской Федерации мероприятий из утвержденного уполномоченным органом перечня приоритетных направлений по снижению дорожно-транспортного </w:t>
      </w:r>
      <w:proofErr w:type="gramStart"/>
      <w:r w:rsidRPr="00092CA2">
        <w:rPr>
          <w:rFonts w:ascii="Times New Roman" w:eastAsia="Times New Roman" w:hAnsi="Times New Roman" w:cs="Times New Roman"/>
          <w:sz w:val="24"/>
          <w:szCs w:val="24"/>
          <w:lang w:eastAsia="ru-RU"/>
        </w:rPr>
        <w:t>травматизма;</w:t>
      </w:r>
      <w:r w:rsidRPr="00092CA2">
        <w:rPr>
          <w:rFonts w:ascii="Times New Roman" w:eastAsia="Times New Roman" w:hAnsi="Times New Roman" w:cs="Times New Roman"/>
          <w:sz w:val="24"/>
          <w:szCs w:val="24"/>
          <w:lang w:eastAsia="ru-RU"/>
        </w:rPr>
        <w:br/>
      </w:r>
      <w:r w:rsidRPr="00092CA2">
        <w:rPr>
          <w:rFonts w:ascii="Times New Roman" w:eastAsia="Times New Roman" w:hAnsi="Times New Roman" w:cs="Times New Roman"/>
          <w:sz w:val="24"/>
          <w:szCs w:val="24"/>
          <w:lang w:eastAsia="ru-RU"/>
        </w:rPr>
        <w:br/>
        <w:t>определение</w:t>
      </w:r>
      <w:proofErr w:type="gramEnd"/>
      <w:r w:rsidRPr="00092CA2">
        <w:rPr>
          <w:rFonts w:ascii="Times New Roman" w:eastAsia="Times New Roman" w:hAnsi="Times New Roman" w:cs="Times New Roman"/>
          <w:sz w:val="24"/>
          <w:szCs w:val="24"/>
          <w:lang w:eastAsia="ru-RU"/>
        </w:rPr>
        <w:t xml:space="preserve"> уполномоченным органом перечня программ субъектов Российской Федерации, претендующих на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за счет средств федерального бюджета;</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получение субъектами Российской Федерации средств федерального бюджета на </w:t>
      </w:r>
      <w:proofErr w:type="spellStart"/>
      <w:r w:rsidRPr="00092CA2">
        <w:rPr>
          <w:rFonts w:ascii="Times New Roman" w:eastAsia="Times New Roman" w:hAnsi="Times New Roman" w:cs="Times New Roman"/>
          <w:sz w:val="24"/>
          <w:szCs w:val="24"/>
          <w:lang w:eastAsia="ru-RU"/>
        </w:rPr>
        <w:t>софинансирование</w:t>
      </w:r>
      <w:proofErr w:type="spellEnd"/>
      <w:r w:rsidRPr="00092CA2">
        <w:rPr>
          <w:rFonts w:ascii="Times New Roman" w:eastAsia="Times New Roman" w:hAnsi="Times New Roman" w:cs="Times New Roman"/>
          <w:sz w:val="24"/>
          <w:szCs w:val="24"/>
          <w:lang w:eastAsia="ru-RU"/>
        </w:rPr>
        <w:t xml:space="preserve"> мероприятий региональных целевых программ;</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реализация субъектами Российской Федерации приоритетных мероприятий по снижению дорожно-транспортного травматизма в соответствии с утвержденными программами;</w:t>
      </w:r>
    </w:p>
    <w:p w:rsidR="00795C01" w:rsidRPr="00092CA2"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оценка эффективности реализованных субъектами Российской Федерации приоритетных мероприятий по снижению дорожно-транспортного травматизма с целью учета достигнутых результатов при принятии решений о дальнейшем </w:t>
      </w:r>
      <w:proofErr w:type="spellStart"/>
      <w:r w:rsidRPr="00092CA2">
        <w:rPr>
          <w:rFonts w:ascii="Times New Roman" w:eastAsia="Times New Roman" w:hAnsi="Times New Roman" w:cs="Times New Roman"/>
          <w:sz w:val="24"/>
          <w:szCs w:val="24"/>
          <w:lang w:eastAsia="ru-RU"/>
        </w:rPr>
        <w:t>софинансировании</w:t>
      </w:r>
      <w:proofErr w:type="spellEnd"/>
      <w:r w:rsidRPr="00092CA2">
        <w:rPr>
          <w:rFonts w:ascii="Times New Roman" w:eastAsia="Times New Roman" w:hAnsi="Times New Roman" w:cs="Times New Roman"/>
          <w:sz w:val="24"/>
          <w:szCs w:val="24"/>
          <w:lang w:eastAsia="ru-RU"/>
        </w:rPr>
        <w:t xml:space="preserve"> программ субъекта Российской Федерации.</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Разработка и апробация такого механизма должна быть осуществлена на 1-м этапе реализации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Распределение функций и взаимодействие органов управления реализацией Программы осуществляются в соответствии с </w:t>
      </w:r>
      <w:hyperlink r:id="rId48" w:history="1">
        <w:r w:rsidRPr="00092CA2">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w:t>
        </w:r>
      </w:hyperlink>
      <w:r w:rsidRPr="00092CA2">
        <w:rPr>
          <w:rFonts w:ascii="Times New Roman" w:eastAsia="Times New Roman" w:hAnsi="Times New Roman" w:cs="Times New Roman"/>
          <w:sz w:val="24"/>
          <w:szCs w:val="24"/>
          <w:lang w:eastAsia="ru-RU"/>
        </w:rPr>
        <w:t>, а также актом Правительства Российской Федерации об утверждении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Для оценки эффективности Программы планируется использовать систему целевых индикаторов и показателей, отражающих конечный (макроэкономический) и непосредственный эффект от реализации мероприятий Программы.</w:t>
      </w:r>
    </w:p>
    <w:p w:rsidR="00261615" w:rsidRDefault="00795C01" w:rsidP="00261615">
      <w:pPr>
        <w:spacing w:after="0" w:line="240" w:lineRule="auto"/>
        <w:ind w:firstLine="709"/>
        <w:jc w:val="both"/>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Достигнутые в ходе выполнения мероприятий Программы результаты необходимо публиковать в средствах массовой информации. Оперативную информацию о ходе реализации мероприятий Программы, нормативных актах по управлению реализацией Программы и об условиях проведения конкурсов предлагается размещать на специальном сайте в информационно-телекоммуникационной сети "Интернет".</w:t>
      </w: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sectPr w:rsidR="00261615" w:rsidSect="0002654D">
          <w:type w:val="continuous"/>
          <w:pgSz w:w="11906" w:h="16838"/>
          <w:pgMar w:top="1134" w:right="850" w:bottom="1134" w:left="1701" w:header="708" w:footer="708" w:gutter="0"/>
          <w:cols w:space="708"/>
          <w:docGrid w:linePitch="360"/>
        </w:sect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261615" w:rsidRDefault="00261615" w:rsidP="00261615">
      <w:pPr>
        <w:spacing w:after="0" w:line="240" w:lineRule="auto"/>
        <w:outlineLvl w:val="2"/>
        <w:rPr>
          <w:rFonts w:ascii="Times New Roman" w:eastAsia="Times New Roman" w:hAnsi="Times New Roman" w:cs="Times New Roman"/>
          <w:b/>
          <w:bCs/>
          <w:sz w:val="24"/>
          <w:szCs w:val="24"/>
          <w:lang w:eastAsia="ru-RU"/>
        </w:rPr>
      </w:pPr>
    </w:p>
    <w:p w:rsidR="00795C01" w:rsidRPr="00092CA2" w:rsidRDefault="00795C01" w:rsidP="00261615">
      <w:pPr>
        <w:spacing w:after="0"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Приложение N 1. Целевые индикаторы и показатели федеральной целевой программы "Повышение безопасности дорожного движения в 2013-2020 годах"</w:t>
      </w:r>
    </w:p>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1</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дорожного движения в 2013-2020 годах"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
        <w:gridCol w:w="863"/>
        <w:gridCol w:w="891"/>
        <w:gridCol w:w="798"/>
        <w:gridCol w:w="753"/>
        <w:gridCol w:w="753"/>
        <w:gridCol w:w="798"/>
        <w:gridCol w:w="798"/>
        <w:gridCol w:w="753"/>
        <w:gridCol w:w="798"/>
        <w:gridCol w:w="753"/>
        <w:gridCol w:w="816"/>
      </w:tblGrid>
      <w:tr w:rsidR="00795C01" w:rsidRPr="00092CA2" w:rsidTr="00261615">
        <w:trPr>
          <w:trHeight w:val="15"/>
          <w:tblCellSpacing w:w="15" w:type="dxa"/>
        </w:trPr>
        <w:tc>
          <w:tcPr>
            <w:tcW w:w="536"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83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861"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68"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2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2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68"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68"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2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68"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2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71"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261615">
        <w:trPr>
          <w:tblCellSpacing w:w="15" w:type="dxa"/>
        </w:trPr>
        <w:tc>
          <w:tcPr>
            <w:tcW w:w="536" w:type="dxa"/>
            <w:tcBorders>
              <w:top w:val="single" w:sz="6" w:space="0" w:color="000000"/>
              <w:left w:val="nil"/>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8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Единица </w:t>
            </w:r>
          </w:p>
        </w:tc>
        <w:tc>
          <w:tcPr>
            <w:tcW w:w="861"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spellStart"/>
            <w:r w:rsidRPr="00092CA2">
              <w:rPr>
                <w:rFonts w:ascii="Times New Roman" w:eastAsia="Times New Roman" w:hAnsi="Times New Roman" w:cs="Times New Roman"/>
                <w:sz w:val="24"/>
                <w:szCs w:val="24"/>
                <w:lang w:eastAsia="ru-RU"/>
              </w:rPr>
              <w:t>Значе</w:t>
            </w:r>
            <w:proofErr w:type="spellEnd"/>
            <w:r w:rsidRPr="00092CA2">
              <w:rPr>
                <w:rFonts w:ascii="Times New Roman" w:eastAsia="Times New Roman" w:hAnsi="Times New Roman" w:cs="Times New Roman"/>
                <w:sz w:val="24"/>
                <w:szCs w:val="24"/>
                <w:lang w:eastAsia="ru-RU"/>
              </w:rPr>
              <w:t>-</w:t>
            </w:r>
          </w:p>
        </w:tc>
        <w:tc>
          <w:tcPr>
            <w:tcW w:w="6174" w:type="dxa"/>
            <w:gridSpan w:val="8"/>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Значения по годам реализации Программы </w:t>
            </w:r>
          </w:p>
        </w:tc>
        <w:tc>
          <w:tcPr>
            <w:tcW w:w="771" w:type="dxa"/>
            <w:tcBorders>
              <w:top w:val="single" w:sz="6" w:space="0" w:color="000000"/>
              <w:left w:val="single" w:sz="6" w:space="0" w:color="000000"/>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Дина-</w:t>
            </w:r>
          </w:p>
        </w:tc>
      </w:tr>
      <w:tr w:rsidR="00795C01" w:rsidRPr="00092CA2" w:rsidTr="00261615">
        <w:trPr>
          <w:tblCellSpacing w:w="15" w:type="dxa"/>
        </w:trPr>
        <w:tc>
          <w:tcPr>
            <w:tcW w:w="536" w:type="dxa"/>
            <w:tcBorders>
              <w:top w:val="nil"/>
              <w:left w:val="nil"/>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8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92CA2">
              <w:rPr>
                <w:rFonts w:ascii="Times New Roman" w:eastAsia="Times New Roman" w:hAnsi="Times New Roman" w:cs="Times New Roman"/>
                <w:sz w:val="24"/>
                <w:szCs w:val="24"/>
                <w:lang w:eastAsia="ru-RU"/>
              </w:rPr>
              <w:t>измере</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ния</w:t>
            </w:r>
            <w:proofErr w:type="spellEnd"/>
            <w:proofErr w:type="gramEnd"/>
            <w:r w:rsidRPr="00092CA2">
              <w:rPr>
                <w:rFonts w:ascii="Times New Roman" w:eastAsia="Times New Roman" w:hAnsi="Times New Roman" w:cs="Times New Roman"/>
                <w:sz w:val="24"/>
                <w:szCs w:val="24"/>
                <w:lang w:eastAsia="ru-RU"/>
              </w:rPr>
              <w:t xml:space="preserve"> </w:t>
            </w:r>
          </w:p>
        </w:tc>
        <w:tc>
          <w:tcPr>
            <w:tcW w:w="861"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spellStart"/>
            <w:r w:rsidRPr="00092CA2">
              <w:rPr>
                <w:rFonts w:ascii="Times New Roman" w:eastAsia="Times New Roman" w:hAnsi="Times New Roman" w:cs="Times New Roman"/>
                <w:sz w:val="24"/>
                <w:szCs w:val="24"/>
                <w:lang w:eastAsia="ru-RU"/>
              </w:rPr>
              <w:t>ние</w:t>
            </w:r>
            <w:proofErr w:type="spellEnd"/>
            <w:r w:rsidRPr="00092CA2">
              <w:rPr>
                <w:rFonts w:ascii="Times New Roman" w:eastAsia="Times New Roman" w:hAnsi="Times New Roman" w:cs="Times New Roman"/>
                <w:sz w:val="24"/>
                <w:szCs w:val="24"/>
                <w:lang w:eastAsia="ru-RU"/>
              </w:rPr>
              <w:t xml:space="preserve"> в 2010 году </w:t>
            </w:r>
          </w:p>
        </w:tc>
        <w:tc>
          <w:tcPr>
            <w:tcW w:w="76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 год </w:t>
            </w:r>
          </w:p>
        </w:tc>
        <w:tc>
          <w:tcPr>
            <w:tcW w:w="7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2014 год </w:t>
            </w:r>
          </w:p>
        </w:tc>
        <w:tc>
          <w:tcPr>
            <w:tcW w:w="7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2015 год </w:t>
            </w:r>
          </w:p>
        </w:tc>
        <w:tc>
          <w:tcPr>
            <w:tcW w:w="76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2016 год </w:t>
            </w:r>
          </w:p>
        </w:tc>
        <w:tc>
          <w:tcPr>
            <w:tcW w:w="76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2017 год </w:t>
            </w:r>
          </w:p>
        </w:tc>
        <w:tc>
          <w:tcPr>
            <w:tcW w:w="7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2018 год </w:t>
            </w:r>
          </w:p>
        </w:tc>
        <w:tc>
          <w:tcPr>
            <w:tcW w:w="76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2019 год </w:t>
            </w:r>
          </w:p>
        </w:tc>
        <w:tc>
          <w:tcPr>
            <w:tcW w:w="72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2020 год </w:t>
            </w:r>
          </w:p>
        </w:tc>
        <w:tc>
          <w:tcPr>
            <w:tcW w:w="771" w:type="dxa"/>
            <w:tcBorders>
              <w:top w:val="nil"/>
              <w:left w:val="single" w:sz="6" w:space="0" w:color="000000"/>
              <w:bottom w:val="single" w:sz="6" w:space="0" w:color="000000"/>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spellStart"/>
            <w:r w:rsidRPr="00092CA2">
              <w:rPr>
                <w:rFonts w:ascii="Times New Roman" w:eastAsia="Times New Roman" w:hAnsi="Times New Roman" w:cs="Times New Roman"/>
                <w:sz w:val="24"/>
                <w:szCs w:val="24"/>
                <w:lang w:eastAsia="ru-RU"/>
              </w:rPr>
              <w:t>мика</w:t>
            </w:r>
            <w:proofErr w:type="spellEnd"/>
            <w:r w:rsidRPr="00092CA2">
              <w:rPr>
                <w:rFonts w:ascii="Times New Roman" w:eastAsia="Times New Roman" w:hAnsi="Times New Roman" w:cs="Times New Roman"/>
                <w:sz w:val="24"/>
                <w:szCs w:val="24"/>
                <w:lang w:eastAsia="ru-RU"/>
              </w:rPr>
              <w:t xml:space="preserve"> к 2010 году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Инерционный сценарий развития событий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514"/>
        <w:gridCol w:w="776"/>
        <w:gridCol w:w="776"/>
        <w:gridCol w:w="776"/>
        <w:gridCol w:w="776"/>
        <w:gridCol w:w="776"/>
        <w:gridCol w:w="776"/>
        <w:gridCol w:w="776"/>
        <w:gridCol w:w="776"/>
        <w:gridCol w:w="776"/>
        <w:gridCol w:w="807"/>
      </w:tblGrid>
      <w:tr w:rsidR="00795C01" w:rsidRPr="00092CA2" w:rsidTr="0002654D">
        <w:trPr>
          <w:trHeight w:val="15"/>
          <w:tblCellSpacing w:w="15" w:type="dxa"/>
        </w:trPr>
        <w:tc>
          <w:tcPr>
            <w:tcW w:w="166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02654D">
        <w:trPr>
          <w:tblCellSpacing w:w="15" w:type="dxa"/>
        </w:trPr>
        <w:tc>
          <w:tcPr>
            <w:tcW w:w="12566" w:type="dxa"/>
            <w:gridSpan w:val="12"/>
            <w:tcBorders>
              <w:top w:val="single" w:sz="6" w:space="0" w:color="000000"/>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Инерционный сценарий развития событий</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27724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28424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29152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29879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30584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31259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31897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32495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+5928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985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1009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1078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1098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+200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22,7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+0,3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Тяжесть последствий (число погибших на 100 </w:t>
            </w:r>
            <w:proofErr w:type="gramStart"/>
            <w:r w:rsidRPr="00092CA2">
              <w:rPr>
                <w:rFonts w:ascii="Times New Roman" w:eastAsia="Times New Roman" w:hAnsi="Times New Roman" w:cs="Times New Roman"/>
                <w:sz w:val="24"/>
                <w:szCs w:val="24"/>
                <w:lang w:eastAsia="ru-RU"/>
              </w:rPr>
              <w:t>пострадав-</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ших</w:t>
            </w:r>
            <w:proofErr w:type="spellEnd"/>
            <w:proofErr w:type="gramEnd"/>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11,7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 (при объеме финансирования 99023,333 млн. рублей, из них 48700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534"/>
        <w:gridCol w:w="783"/>
        <w:gridCol w:w="789"/>
        <w:gridCol w:w="783"/>
        <w:gridCol w:w="783"/>
        <w:gridCol w:w="789"/>
        <w:gridCol w:w="789"/>
        <w:gridCol w:w="783"/>
        <w:gridCol w:w="789"/>
        <w:gridCol w:w="783"/>
        <w:gridCol w:w="676"/>
      </w:tblGrid>
      <w:tr w:rsidR="00795C01" w:rsidRPr="00092CA2" w:rsidTr="0002654D">
        <w:trPr>
          <w:trHeight w:val="15"/>
          <w:tblCellSpacing w:w="15" w:type="dxa"/>
        </w:trPr>
        <w:tc>
          <w:tcPr>
            <w:tcW w:w="166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02654D">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Первый вариант (при объеме финансирования 99023,333 млн. рублей, из них 48700 млн. рублей - за счет средств федерального бюджета)</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24134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23325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22592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21905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21244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20599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20103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19925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-6642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788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740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717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14,4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13,9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Тяжесть последствий (число погибших на 100 </w:t>
            </w:r>
            <w:proofErr w:type="gramStart"/>
            <w:r w:rsidRPr="00092CA2">
              <w:rPr>
                <w:rFonts w:ascii="Times New Roman" w:eastAsia="Times New Roman" w:hAnsi="Times New Roman" w:cs="Times New Roman"/>
                <w:sz w:val="24"/>
                <w:szCs w:val="24"/>
                <w:lang w:eastAsia="ru-RU"/>
              </w:rPr>
              <w:t>пострадав-</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ших</w:t>
            </w:r>
            <w:proofErr w:type="spellEnd"/>
            <w:proofErr w:type="gramEnd"/>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-0,9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 (при объеме финансирования 99023,333 млн. рублей, из них 68180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534"/>
        <w:gridCol w:w="783"/>
        <w:gridCol w:w="789"/>
        <w:gridCol w:w="783"/>
        <w:gridCol w:w="783"/>
        <w:gridCol w:w="789"/>
        <w:gridCol w:w="789"/>
        <w:gridCol w:w="783"/>
        <w:gridCol w:w="789"/>
        <w:gridCol w:w="783"/>
        <w:gridCol w:w="676"/>
      </w:tblGrid>
      <w:tr w:rsidR="00795C01" w:rsidRPr="00092CA2" w:rsidTr="0002654D">
        <w:trPr>
          <w:trHeight w:val="15"/>
          <w:tblCellSpacing w:w="15" w:type="dxa"/>
        </w:trPr>
        <w:tc>
          <w:tcPr>
            <w:tcW w:w="166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02654D">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Второй вариант (при объеме финансирования 99023,333 млн. рублей, из них 68180 млн. рублей - за счет средств федерального бюджета)</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24140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23512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22982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22484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22050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21647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21392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21186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-5381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816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715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-183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Тяжесть последствий (число погибших на 100 </w:t>
            </w:r>
            <w:proofErr w:type="gramStart"/>
            <w:r w:rsidRPr="00092CA2">
              <w:rPr>
                <w:rFonts w:ascii="Times New Roman" w:eastAsia="Times New Roman" w:hAnsi="Times New Roman" w:cs="Times New Roman"/>
                <w:sz w:val="24"/>
                <w:szCs w:val="24"/>
                <w:lang w:eastAsia="ru-RU"/>
              </w:rPr>
              <w:t>пострадав-</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ших</w:t>
            </w:r>
            <w:proofErr w:type="spellEnd"/>
            <w:proofErr w:type="gramEnd"/>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-0,2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 (при объеме финансирования 99023,333 млн. рублей, из них 29220 млн. рублей - за счет средств федерального бюджета)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534"/>
        <w:gridCol w:w="783"/>
        <w:gridCol w:w="789"/>
        <w:gridCol w:w="783"/>
        <w:gridCol w:w="783"/>
        <w:gridCol w:w="789"/>
        <w:gridCol w:w="789"/>
        <w:gridCol w:w="783"/>
        <w:gridCol w:w="789"/>
        <w:gridCol w:w="783"/>
        <w:gridCol w:w="676"/>
      </w:tblGrid>
      <w:tr w:rsidR="00795C01" w:rsidRPr="00092CA2" w:rsidTr="0002654D">
        <w:trPr>
          <w:trHeight w:val="15"/>
          <w:tblCellSpacing w:w="15" w:type="dxa"/>
        </w:trPr>
        <w:tc>
          <w:tcPr>
            <w:tcW w:w="166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2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02654D">
        <w:trPr>
          <w:tblCellSpacing w:w="15" w:type="dxa"/>
        </w:trPr>
        <w:tc>
          <w:tcPr>
            <w:tcW w:w="12566" w:type="dxa"/>
            <w:gridSpan w:val="1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Третий вариант (при объеме финансирования 99023,333 млн. рублей, из них 29220 млн. рублей - за счет средств федерального бюджета)</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лиц,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человек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26567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24142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23780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23436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23096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22812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22574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22419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22304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-4263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Число детей, погибших в дорожно-</w:t>
            </w:r>
            <w:r w:rsidRPr="00092CA2">
              <w:rPr>
                <w:rFonts w:ascii="Times New Roman" w:eastAsia="Times New Roman" w:hAnsi="Times New Roman" w:cs="Times New Roman"/>
                <w:sz w:val="24"/>
                <w:szCs w:val="24"/>
                <w:lang w:eastAsia="ru-RU"/>
              </w:rPr>
              <w:br/>
              <w:t xml:space="preserve">транспортных </w:t>
            </w:r>
            <w:proofErr w:type="spellStart"/>
            <w:proofErr w:type="gramStart"/>
            <w:r w:rsidRPr="00092CA2">
              <w:rPr>
                <w:rFonts w:ascii="Times New Roman" w:eastAsia="Times New Roman" w:hAnsi="Times New Roman" w:cs="Times New Roman"/>
                <w:sz w:val="24"/>
                <w:szCs w:val="24"/>
                <w:lang w:eastAsia="ru-RU"/>
              </w:rPr>
              <w:t>происшестви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ях</w:t>
            </w:r>
            <w:proofErr w:type="spellEnd"/>
            <w:proofErr w:type="gramEnd"/>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817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770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753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-145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Социальный риск (число погибших на 100 тыс. населения)</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Транспортный риск (число погибших на 10 тыс. транспортных средств)</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 </w:t>
            </w:r>
          </w:p>
        </w:tc>
      </w:tr>
      <w:tr w:rsidR="00795C01" w:rsidRPr="00092CA2" w:rsidTr="0002654D">
        <w:trPr>
          <w:tblCellSpacing w:w="15" w:type="dxa"/>
        </w:trPr>
        <w:tc>
          <w:tcPr>
            <w:tcW w:w="16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Тяжесть</w:t>
            </w:r>
            <w:r w:rsidRPr="00092CA2">
              <w:rPr>
                <w:rFonts w:ascii="Times New Roman" w:eastAsia="Times New Roman" w:hAnsi="Times New Roman" w:cs="Times New Roman"/>
                <w:sz w:val="24"/>
                <w:szCs w:val="24"/>
                <w:lang w:eastAsia="ru-RU"/>
              </w:rPr>
              <w:br/>
            </w:r>
            <w:proofErr w:type="gramStart"/>
            <w:r w:rsidRPr="00092CA2">
              <w:rPr>
                <w:rFonts w:ascii="Times New Roman" w:eastAsia="Times New Roman" w:hAnsi="Times New Roman" w:cs="Times New Roman"/>
                <w:sz w:val="24"/>
                <w:szCs w:val="24"/>
                <w:lang w:eastAsia="ru-RU"/>
              </w:rPr>
              <w:t>последствий</w:t>
            </w:r>
            <w:r w:rsidRPr="00092CA2">
              <w:rPr>
                <w:rFonts w:ascii="Times New Roman" w:eastAsia="Times New Roman" w:hAnsi="Times New Roman" w:cs="Times New Roman"/>
                <w:sz w:val="24"/>
                <w:szCs w:val="24"/>
                <w:lang w:eastAsia="ru-RU"/>
              </w:rPr>
              <w:br/>
              <w:t>(</w:t>
            </w:r>
            <w:proofErr w:type="gramEnd"/>
            <w:r w:rsidRPr="00092CA2">
              <w:rPr>
                <w:rFonts w:ascii="Times New Roman" w:eastAsia="Times New Roman" w:hAnsi="Times New Roman" w:cs="Times New Roman"/>
                <w:sz w:val="24"/>
                <w:szCs w:val="24"/>
                <w:lang w:eastAsia="ru-RU"/>
              </w:rPr>
              <w:t>число погибших на 100 пострадав-</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ших</w:t>
            </w:r>
            <w:proofErr w:type="spellEnd"/>
            <w:r w:rsidRPr="00092CA2">
              <w:rPr>
                <w:rFonts w:ascii="Times New Roman" w:eastAsia="Times New Roman" w:hAnsi="Times New Roman" w:cs="Times New Roman"/>
                <w:sz w:val="24"/>
                <w:szCs w:val="24"/>
                <w:lang w:eastAsia="ru-RU"/>
              </w:rPr>
              <w:t>)</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9,1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 </w:t>
            </w:r>
          </w:p>
        </w:tc>
        <w:tc>
          <w:tcPr>
            <w:tcW w:w="110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 </w:t>
            </w:r>
          </w:p>
        </w:tc>
        <w:tc>
          <w:tcPr>
            <w:tcW w:w="92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9,5 </w:t>
            </w:r>
          </w:p>
        </w:tc>
        <w:tc>
          <w:tcPr>
            <w:tcW w:w="73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-0,1 </w:t>
            </w:r>
          </w:p>
        </w:tc>
      </w:tr>
    </w:tbl>
    <w:p w:rsidR="00795C01" w:rsidRPr="00092CA2" w:rsidRDefault="00795C01" w:rsidP="00261615">
      <w:pPr>
        <w:spacing w:after="0" w:line="240" w:lineRule="auto"/>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Приложение N 2. 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w:t>
      </w:r>
    </w:p>
    <w:p w:rsidR="00261615" w:rsidRDefault="00261615" w:rsidP="00261615">
      <w:pPr>
        <w:spacing w:after="0" w:line="240" w:lineRule="auto"/>
        <w:jc w:val="right"/>
        <w:rPr>
          <w:rFonts w:ascii="Times New Roman" w:eastAsia="Times New Roman" w:hAnsi="Times New Roman" w:cs="Times New Roman"/>
          <w:sz w:val="24"/>
          <w:szCs w:val="24"/>
          <w:lang w:eastAsia="ru-RU"/>
        </w:rPr>
      </w:pPr>
    </w:p>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2</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 xml:space="preserve">дорожного движения в 2013-2020 годах </w:t>
      </w:r>
    </w:p>
    <w:p w:rsidR="005F46D5" w:rsidRDefault="005F46D5" w:rsidP="00261615">
      <w:pPr>
        <w:spacing w:after="0" w:line="240" w:lineRule="auto"/>
        <w:jc w:val="center"/>
        <w:rPr>
          <w:rFonts w:ascii="Times New Roman" w:eastAsia="Times New Roman" w:hAnsi="Times New Roman" w:cs="Times New Roman"/>
          <w:sz w:val="24"/>
          <w:szCs w:val="24"/>
          <w:lang w:eastAsia="ru-RU"/>
        </w:rPr>
      </w:pPr>
    </w:p>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по направлениям  </w:t>
      </w:r>
    </w:p>
    <w:p w:rsidR="00795C01" w:rsidRPr="00092CA2" w:rsidRDefault="00795C01" w:rsidP="00261615">
      <w:pPr>
        <w:spacing w:after="0" w:line="240" w:lineRule="auto"/>
        <w:rPr>
          <w:rFonts w:ascii="Times New Roman" w:eastAsia="Times New Roman" w:hAnsi="Times New Roman" w:cs="Times New Roman"/>
          <w:sz w:val="24"/>
          <w:szCs w:val="24"/>
          <w:lang w:eastAsia="ru-RU"/>
        </w:rPr>
      </w:pPr>
    </w:p>
    <w:tbl>
      <w:tblPr>
        <w:tblW w:w="0" w:type="auto"/>
        <w:tblCellSpacing w:w="15" w:type="dxa"/>
        <w:tblInd w:w="-1134" w:type="dxa"/>
        <w:tblCellMar>
          <w:top w:w="15" w:type="dxa"/>
          <w:left w:w="15" w:type="dxa"/>
          <w:bottom w:w="15" w:type="dxa"/>
          <w:right w:w="15" w:type="dxa"/>
        </w:tblCellMar>
        <w:tblLook w:val="04A0" w:firstRow="1" w:lastRow="0" w:firstColumn="1" w:lastColumn="0" w:noHBand="0" w:noVBand="1"/>
      </w:tblPr>
      <w:tblGrid>
        <w:gridCol w:w="946"/>
        <w:gridCol w:w="706"/>
        <w:gridCol w:w="692"/>
        <w:gridCol w:w="931"/>
        <w:gridCol w:w="671"/>
        <w:gridCol w:w="607"/>
        <w:gridCol w:w="692"/>
        <w:gridCol w:w="931"/>
        <w:gridCol w:w="671"/>
        <w:gridCol w:w="607"/>
        <w:gridCol w:w="692"/>
        <w:gridCol w:w="916"/>
        <w:gridCol w:w="835"/>
        <w:gridCol w:w="592"/>
      </w:tblGrid>
      <w:tr w:rsidR="00795C01" w:rsidRPr="00092CA2" w:rsidTr="005F46D5">
        <w:trPr>
          <w:tblCellSpacing w:w="15" w:type="dxa"/>
        </w:trPr>
        <w:tc>
          <w:tcPr>
            <w:tcW w:w="10146" w:type="dxa"/>
            <w:gridSpan w:val="14"/>
            <w:tcBorders>
              <w:top w:val="nil"/>
              <w:left w:val="nil"/>
              <w:bottom w:val="single" w:sz="6" w:space="0" w:color="000000"/>
              <w:right w:val="nil"/>
            </w:tcBorders>
            <w:tcMar>
              <w:top w:w="15" w:type="dxa"/>
              <w:left w:w="74" w:type="dxa"/>
              <w:bottom w:w="15" w:type="dxa"/>
              <w:right w:w="74" w:type="dxa"/>
            </w:tcMar>
            <w:hideMark/>
          </w:tcPr>
          <w:p w:rsidR="00795C01" w:rsidRPr="00092CA2" w:rsidRDefault="00795C01" w:rsidP="005F46D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(млн. рублей)</w:t>
            </w:r>
          </w:p>
        </w:tc>
      </w:tr>
      <w:tr w:rsidR="00795C01" w:rsidRPr="00092CA2" w:rsidTr="005F46D5">
        <w:trPr>
          <w:tblCellSpacing w:w="15" w:type="dxa"/>
        </w:trPr>
        <w:tc>
          <w:tcPr>
            <w:tcW w:w="0" w:type="auto"/>
            <w:tcBorders>
              <w:top w:val="nil"/>
              <w:left w:val="nil"/>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Направления программных </w:t>
            </w:r>
          </w:p>
        </w:tc>
        <w:tc>
          <w:tcPr>
            <w:tcW w:w="0" w:type="auto"/>
            <w:tcBorders>
              <w:top w:val="nil"/>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2013-2020 годы </w:t>
            </w:r>
          </w:p>
        </w:tc>
        <w:tc>
          <w:tcPr>
            <w:tcW w:w="0" w:type="auto"/>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Федеральный бюджет </w:t>
            </w:r>
          </w:p>
        </w:tc>
        <w:tc>
          <w:tcPr>
            <w:tcW w:w="0" w:type="auto"/>
            <w:gridSpan w:val="4"/>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Бюджеты субъектов Российской Федерации </w:t>
            </w:r>
          </w:p>
        </w:tc>
        <w:tc>
          <w:tcPr>
            <w:tcW w:w="2907" w:type="dxa"/>
            <w:gridSpan w:val="4"/>
            <w:tcBorders>
              <w:top w:val="single" w:sz="6" w:space="0" w:color="000000"/>
              <w:left w:val="single" w:sz="6" w:space="0" w:color="000000"/>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Средства внебюджетных источников </w:t>
            </w:r>
          </w:p>
        </w:tc>
      </w:tr>
      <w:tr w:rsidR="00795C01" w:rsidRPr="00092CA2" w:rsidTr="005F46D5">
        <w:trPr>
          <w:tblCellSpacing w:w="15" w:type="dxa"/>
        </w:trPr>
        <w:tc>
          <w:tcPr>
            <w:tcW w:w="0" w:type="auto"/>
            <w:tcBorders>
              <w:top w:val="nil"/>
              <w:left w:val="nil"/>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мероприятий </w:t>
            </w:r>
          </w:p>
        </w:tc>
        <w:tc>
          <w:tcPr>
            <w:tcW w:w="0" w:type="auto"/>
            <w:tcBorders>
              <w:top w:val="nil"/>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c>
          <w:tcPr>
            <w:tcW w:w="0" w:type="auto"/>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c>
          <w:tcPr>
            <w:tcW w:w="0" w:type="auto"/>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2233" w:type="dxa"/>
            <w:gridSpan w:val="3"/>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по статьям расходов </w:t>
            </w:r>
          </w:p>
        </w:tc>
      </w:tr>
      <w:tr w:rsidR="005F46D5" w:rsidRPr="00092CA2" w:rsidTr="005F46D5">
        <w:trPr>
          <w:tblCellSpacing w:w="15" w:type="dxa"/>
        </w:trPr>
        <w:tc>
          <w:tcPr>
            <w:tcW w:w="0" w:type="auto"/>
            <w:tcBorders>
              <w:top w:val="nil"/>
              <w:left w:val="nil"/>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gramStart"/>
            <w:r w:rsidRPr="00092CA2">
              <w:rPr>
                <w:rFonts w:ascii="Times New Roman" w:eastAsia="Times New Roman" w:hAnsi="Times New Roman" w:cs="Times New Roman"/>
                <w:sz w:val="24"/>
                <w:szCs w:val="24"/>
                <w:lang w:eastAsia="ru-RU"/>
              </w:rPr>
              <w:t>капиталь-</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ные</w:t>
            </w:r>
            <w:proofErr w:type="spellEnd"/>
            <w:proofErr w:type="gramEnd"/>
            <w:r w:rsidRPr="00092CA2">
              <w:rPr>
                <w:rFonts w:ascii="Times New Roman" w:eastAsia="Times New Roman" w:hAnsi="Times New Roman" w:cs="Times New Roman"/>
                <w:sz w:val="24"/>
                <w:szCs w:val="24"/>
                <w:lang w:eastAsia="ru-RU"/>
              </w:rPr>
              <w:t xml:space="preserve"> вложения </w:t>
            </w: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c>
          <w:tcPr>
            <w:tcW w:w="0" w:type="auto"/>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gramStart"/>
            <w:r w:rsidRPr="00092CA2">
              <w:rPr>
                <w:rFonts w:ascii="Times New Roman" w:eastAsia="Times New Roman" w:hAnsi="Times New Roman" w:cs="Times New Roman"/>
                <w:sz w:val="24"/>
                <w:szCs w:val="24"/>
                <w:lang w:eastAsia="ru-RU"/>
              </w:rPr>
              <w:t>капиталь-</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ные</w:t>
            </w:r>
            <w:proofErr w:type="spellEnd"/>
            <w:proofErr w:type="gramEnd"/>
            <w:r w:rsidRPr="00092CA2">
              <w:rPr>
                <w:rFonts w:ascii="Times New Roman" w:eastAsia="Times New Roman" w:hAnsi="Times New Roman" w:cs="Times New Roman"/>
                <w:sz w:val="24"/>
                <w:szCs w:val="24"/>
                <w:lang w:eastAsia="ru-RU"/>
              </w:rPr>
              <w:t xml:space="preserve"> вложения </w:t>
            </w: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c>
          <w:tcPr>
            <w:tcW w:w="0" w:type="auto"/>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НИОКР </w:t>
            </w:r>
          </w:p>
        </w:tc>
        <w:tc>
          <w:tcPr>
            <w:tcW w:w="0" w:type="auto"/>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92CA2">
              <w:rPr>
                <w:rFonts w:ascii="Times New Roman" w:eastAsia="Times New Roman" w:hAnsi="Times New Roman" w:cs="Times New Roman"/>
                <w:sz w:val="24"/>
                <w:szCs w:val="24"/>
                <w:lang w:eastAsia="ru-RU"/>
              </w:rPr>
              <w:t>капи</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t>таль</w:t>
            </w:r>
            <w:proofErr w:type="gram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ные</w:t>
            </w:r>
            <w:proofErr w:type="spellEnd"/>
            <w:r w:rsidRPr="00092CA2">
              <w:rPr>
                <w:rFonts w:ascii="Times New Roman" w:eastAsia="Times New Roman" w:hAnsi="Times New Roman" w:cs="Times New Roman"/>
                <w:sz w:val="24"/>
                <w:szCs w:val="24"/>
                <w:lang w:eastAsia="ru-RU"/>
              </w:rPr>
              <w:t xml:space="preserve"> </w:t>
            </w:r>
            <w:proofErr w:type="spellStart"/>
            <w:r w:rsidRPr="00092CA2">
              <w:rPr>
                <w:rFonts w:ascii="Times New Roman" w:eastAsia="Times New Roman" w:hAnsi="Times New Roman" w:cs="Times New Roman"/>
                <w:sz w:val="24"/>
                <w:szCs w:val="24"/>
                <w:lang w:eastAsia="ru-RU"/>
              </w:rPr>
              <w:t>вложе</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ния</w:t>
            </w:r>
            <w:proofErr w:type="spellEnd"/>
            <w:r w:rsidRPr="00092CA2">
              <w:rPr>
                <w:rFonts w:ascii="Times New Roman" w:eastAsia="Times New Roman" w:hAnsi="Times New Roman" w:cs="Times New Roman"/>
                <w:sz w:val="24"/>
                <w:szCs w:val="24"/>
                <w:lang w:eastAsia="ru-RU"/>
              </w:rPr>
              <w:t xml:space="preserve"> </w:t>
            </w:r>
          </w:p>
        </w:tc>
        <w:tc>
          <w:tcPr>
            <w:tcW w:w="532" w:type="dxa"/>
            <w:tcBorders>
              <w:top w:val="single" w:sz="6" w:space="0" w:color="000000"/>
              <w:left w:val="nil"/>
              <w:bottom w:val="single" w:sz="6" w:space="0" w:color="000000"/>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прочее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w:t>
      </w:r>
    </w:p>
    <w:tbl>
      <w:tblPr>
        <w:tblW w:w="5606" w:type="pct"/>
        <w:tblCellSpacing w:w="15" w:type="dxa"/>
        <w:tblInd w:w="-1134" w:type="dxa"/>
        <w:tblLayout w:type="fixed"/>
        <w:tblCellMar>
          <w:top w:w="15" w:type="dxa"/>
          <w:left w:w="15" w:type="dxa"/>
          <w:bottom w:w="15" w:type="dxa"/>
          <w:right w:w="15" w:type="dxa"/>
        </w:tblCellMar>
        <w:tblLook w:val="04A0" w:firstRow="1" w:lastRow="0" w:firstColumn="1" w:lastColumn="0" w:noHBand="0" w:noVBand="1"/>
      </w:tblPr>
      <w:tblGrid>
        <w:gridCol w:w="742"/>
        <w:gridCol w:w="843"/>
        <w:gridCol w:w="843"/>
        <w:gridCol w:w="765"/>
        <w:gridCol w:w="843"/>
        <w:gridCol w:w="843"/>
        <w:gridCol w:w="843"/>
        <w:gridCol w:w="226"/>
        <w:gridCol w:w="843"/>
        <w:gridCol w:w="843"/>
        <w:gridCol w:w="765"/>
        <w:gridCol w:w="81"/>
        <w:gridCol w:w="142"/>
        <w:gridCol w:w="721"/>
        <w:gridCol w:w="1146"/>
      </w:tblGrid>
      <w:tr w:rsidR="005F46D5" w:rsidRPr="00092CA2" w:rsidTr="005F46D5">
        <w:trPr>
          <w:trHeight w:val="15"/>
          <w:tblCellSpacing w:w="15" w:type="dxa"/>
        </w:trPr>
        <w:tc>
          <w:tcPr>
            <w:tcW w:w="346"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97"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2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99" w:type="pct"/>
            <w:gridSpan w:val="2"/>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4971" w:type="pct"/>
            <w:gridSpan w:val="15"/>
            <w:tcBorders>
              <w:top w:val="single" w:sz="6" w:space="0" w:color="000000"/>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Первый вариант</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16824,192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330,434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12794,045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3699,713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17643,707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10606,221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7037,486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586,36 </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105,162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481,198 </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безопасного участия детей в дорожном движении</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7037,886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73,772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3989,179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2974,935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7465,765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4778,65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2687,115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250,826 </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132,79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щихся</w:t>
            </w:r>
            <w:proofErr w:type="spellEnd"/>
            <w:r w:rsidRPr="00092CA2">
              <w:rPr>
                <w:rFonts w:ascii="Times New Roman" w:eastAsia="Times New Roman" w:hAnsi="Times New Roman" w:cs="Times New Roman"/>
                <w:sz w:val="24"/>
                <w:szCs w:val="24"/>
                <w:lang w:eastAsia="ru-RU"/>
              </w:rPr>
              <w:t xml:space="preserve"> транспортных средств, их активной и пассивной безопасности</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356,059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1129,291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14098,547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146,555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12888,513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1063,479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14714,075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13609,089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1104,986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263,61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234,675 </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8263,298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388,659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5573,383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2301,256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8381,83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5083,865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3297,965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287,862 </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84,664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203,198 </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roofErr w:type="gramStart"/>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вание</w:t>
            </w:r>
            <w:proofErr w:type="spellEnd"/>
            <w:proofErr w:type="gramEnd"/>
            <w:r w:rsidRPr="00092CA2">
              <w:rPr>
                <w:rFonts w:ascii="Times New Roman" w:eastAsia="Times New Roman" w:hAnsi="Times New Roman" w:cs="Times New Roman"/>
                <w:sz w:val="24"/>
                <w:szCs w:val="24"/>
                <w:lang w:eastAsia="ru-RU"/>
              </w:rPr>
              <w:t xml:space="preserve"> нормативно-</w:t>
            </w:r>
            <w:r w:rsidRPr="00092CA2">
              <w:rPr>
                <w:rFonts w:ascii="Times New Roman" w:eastAsia="Times New Roman" w:hAnsi="Times New Roman" w:cs="Times New Roman"/>
                <w:sz w:val="24"/>
                <w:szCs w:val="24"/>
                <w:lang w:eastAsia="ru-RU"/>
              </w:rPr>
              <w:br/>
              <w:t xml:space="preserve">правового, </w:t>
            </w:r>
            <w:proofErr w:type="spellStart"/>
            <w:r w:rsidRPr="00092CA2">
              <w:rPr>
                <w:rFonts w:ascii="Times New Roman" w:eastAsia="Times New Roman" w:hAnsi="Times New Roman" w:cs="Times New Roman"/>
                <w:sz w:val="24"/>
                <w:szCs w:val="24"/>
                <w:lang w:eastAsia="ru-RU"/>
              </w:rPr>
              <w:t>организацион</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ного</w:t>
            </w:r>
            <w:proofErr w:type="spellEnd"/>
            <w:r w:rsidRPr="00092CA2">
              <w:rPr>
                <w:rFonts w:ascii="Times New Roman" w:eastAsia="Times New Roman" w:hAnsi="Times New Roman" w:cs="Times New Roman"/>
                <w:sz w:val="24"/>
                <w:szCs w:val="24"/>
                <w:lang w:eastAsia="ru-RU"/>
              </w:rPr>
              <w:t xml:space="preserve"> и методического обеспечения деятельности в сфере обеспечения безопасности дорожного движения</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990,727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643,156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347,571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494,623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494,623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5F46D5" w:rsidRPr="00092CA2" w:rsidTr="005F46D5">
        <w:trPr>
          <w:tblCellSpacing w:w="15" w:type="dxa"/>
        </w:trPr>
        <w:tc>
          <w:tcPr>
            <w:tcW w:w="34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1938,635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35245,12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11516,245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9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34077,825 </w:t>
            </w:r>
          </w:p>
        </w:tc>
        <w:tc>
          <w:tcPr>
            <w:tcW w:w="40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14622,175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80" w:type="pct"/>
            <w:gridSpan w:val="2"/>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4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36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w:t>
      </w:r>
    </w:p>
    <w:tbl>
      <w:tblPr>
        <w:tblW w:w="0" w:type="auto"/>
        <w:tblCellSpacing w:w="15" w:type="dxa"/>
        <w:tblInd w:w="-1134" w:type="dxa"/>
        <w:tblCellMar>
          <w:top w:w="15" w:type="dxa"/>
          <w:left w:w="15" w:type="dxa"/>
          <w:bottom w:w="15" w:type="dxa"/>
          <w:right w:w="15" w:type="dxa"/>
        </w:tblCellMar>
        <w:tblLook w:val="04A0" w:firstRow="1" w:lastRow="0" w:firstColumn="1" w:lastColumn="0" w:noHBand="0" w:noVBand="1"/>
      </w:tblPr>
      <w:tblGrid>
        <w:gridCol w:w="774"/>
        <w:gridCol w:w="884"/>
        <w:gridCol w:w="884"/>
        <w:gridCol w:w="802"/>
        <w:gridCol w:w="885"/>
        <w:gridCol w:w="885"/>
        <w:gridCol w:w="885"/>
        <w:gridCol w:w="233"/>
        <w:gridCol w:w="885"/>
        <w:gridCol w:w="802"/>
        <w:gridCol w:w="802"/>
        <w:gridCol w:w="233"/>
        <w:gridCol w:w="718"/>
        <w:gridCol w:w="817"/>
      </w:tblGrid>
      <w:tr w:rsidR="00795C01" w:rsidRPr="00092CA2" w:rsidTr="005F46D5">
        <w:trPr>
          <w:trHeight w:val="15"/>
          <w:tblCellSpacing w:w="15" w:type="dxa"/>
        </w:trPr>
        <w:tc>
          <w:tcPr>
            <w:tcW w:w="1780"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8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96"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54"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8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8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96"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11"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8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429" w:type="dxa"/>
            <w:gridSpan w:val="14"/>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Второй вариант</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23980,737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622,887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19435,431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3922,419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10472,407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7085,873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3386,534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601,115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119,727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481,388 </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Обеспечение безопасного участия детей в дорожном движении</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9988,781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103,281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5503,42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4382,08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4529,624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2714,823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1814,801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236,072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118,036 </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щихся</w:t>
            </w:r>
            <w:proofErr w:type="spellEnd"/>
            <w:r w:rsidRPr="00092CA2">
              <w:rPr>
                <w:rFonts w:ascii="Times New Roman" w:eastAsia="Times New Roman" w:hAnsi="Times New Roman" w:cs="Times New Roman"/>
                <w:sz w:val="24"/>
                <w:szCs w:val="24"/>
                <w:lang w:eastAsia="ru-RU"/>
              </w:rPr>
              <w:t xml:space="preserve"> транспортных средств, их активной и пассивной безопасности</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297,07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1188,28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19902,106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205,176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17498,612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2198,318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8910,516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7767,391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1143,125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263,798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234,487 </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11599,098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457,191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7552,113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3589,794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5046,031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2878,608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2167,423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287,861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84,665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203,196 </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roofErr w:type="gramStart"/>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вание</w:t>
            </w:r>
            <w:proofErr w:type="spellEnd"/>
            <w:proofErr w:type="gramEnd"/>
            <w:r w:rsidRPr="00092CA2">
              <w:rPr>
                <w:rFonts w:ascii="Times New Roman" w:eastAsia="Times New Roman" w:hAnsi="Times New Roman" w:cs="Times New Roman"/>
                <w:sz w:val="24"/>
                <w:szCs w:val="24"/>
                <w:lang w:eastAsia="ru-RU"/>
              </w:rPr>
              <w:t xml:space="preserve"> нормативно-</w:t>
            </w:r>
            <w:r w:rsidRPr="00092CA2">
              <w:rPr>
                <w:rFonts w:ascii="Times New Roman" w:eastAsia="Times New Roman" w:hAnsi="Times New Roman" w:cs="Times New Roman"/>
                <w:sz w:val="24"/>
                <w:szCs w:val="24"/>
                <w:lang w:eastAsia="ru-RU"/>
              </w:rPr>
              <w:br/>
              <w:t xml:space="preserve">правового, </w:t>
            </w:r>
            <w:proofErr w:type="spellStart"/>
            <w:r w:rsidRPr="00092CA2">
              <w:rPr>
                <w:rFonts w:ascii="Times New Roman" w:eastAsia="Times New Roman" w:hAnsi="Times New Roman" w:cs="Times New Roman"/>
                <w:sz w:val="24"/>
                <w:szCs w:val="24"/>
                <w:lang w:eastAsia="ru-RU"/>
              </w:rPr>
              <w:t>организацион</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ного</w:t>
            </w:r>
            <w:proofErr w:type="spellEnd"/>
            <w:r w:rsidRPr="00092CA2">
              <w:rPr>
                <w:rFonts w:ascii="Times New Roman" w:eastAsia="Times New Roman" w:hAnsi="Times New Roman" w:cs="Times New Roman"/>
                <w:sz w:val="24"/>
                <w:szCs w:val="24"/>
                <w:lang w:eastAsia="ru-RU"/>
              </w:rPr>
              <w:t xml:space="preserve"> и методического обеспечения деятельности в сфере обеспечения безопасности дорожного движения</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1223,928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796,148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427,78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261,422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261,422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795C01" w:rsidRPr="00092CA2" w:rsidTr="005F46D5">
        <w:trPr>
          <w:tblCellSpacing w:w="15" w:type="dxa"/>
        </w:trPr>
        <w:tc>
          <w:tcPr>
            <w:tcW w:w="178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2481,753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49989,576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15708,671 </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754"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20446,695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8773,305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96"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611"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68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w:t>
      </w:r>
    </w:p>
    <w:tbl>
      <w:tblPr>
        <w:tblW w:w="5000" w:type="pct"/>
        <w:tblCellSpacing w:w="15" w:type="dxa"/>
        <w:tblInd w:w="-1134" w:type="dxa"/>
        <w:tblCellMar>
          <w:top w:w="15" w:type="dxa"/>
          <w:left w:w="15" w:type="dxa"/>
          <w:bottom w:w="15" w:type="dxa"/>
          <w:right w:w="15" w:type="dxa"/>
        </w:tblCellMar>
        <w:tblLook w:val="04A0" w:firstRow="1" w:lastRow="0" w:firstColumn="1" w:lastColumn="0" w:noHBand="0" w:noVBand="1"/>
      </w:tblPr>
      <w:tblGrid>
        <w:gridCol w:w="782"/>
        <w:gridCol w:w="892"/>
        <w:gridCol w:w="808"/>
        <w:gridCol w:w="808"/>
        <w:gridCol w:w="892"/>
        <w:gridCol w:w="808"/>
        <w:gridCol w:w="892"/>
        <w:gridCol w:w="234"/>
        <w:gridCol w:w="892"/>
        <w:gridCol w:w="892"/>
        <w:gridCol w:w="808"/>
        <w:gridCol w:w="234"/>
        <w:gridCol w:w="724"/>
        <w:gridCol w:w="823"/>
      </w:tblGrid>
      <w:tr w:rsidR="00795C01" w:rsidRPr="00092CA2" w:rsidTr="005F46D5">
        <w:trPr>
          <w:trHeight w:val="15"/>
          <w:tblCellSpacing w:w="15" w:type="dxa"/>
        </w:trPr>
        <w:tc>
          <w:tcPr>
            <w:tcW w:w="349"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7"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7"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6"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0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6"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406"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0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29"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36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4968" w:type="pct"/>
            <w:gridSpan w:val="14"/>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Третий вариант</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предупреждения опасного поведения участников дорожного движения</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35054,259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9847,336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169,987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8817,802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859,547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24611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17106,478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7504,522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595,923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70,109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525,814 </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Обеспечение безопасного участия детей </w:t>
            </w:r>
            <w:r w:rsidRPr="00092CA2">
              <w:rPr>
                <w:rFonts w:ascii="Times New Roman" w:eastAsia="Times New Roman" w:hAnsi="Times New Roman" w:cs="Times New Roman"/>
                <w:sz w:val="24"/>
                <w:szCs w:val="24"/>
                <w:lang w:eastAsia="ru-RU"/>
              </w:rPr>
              <w:br/>
              <w:t>в дорожном движении</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14754,477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4111,166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44,263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2244,421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1822,482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10402,047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6168,47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4233,577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241,264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132,79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108,474 </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Повышение уровня технического состояния эксплуатирую-</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щихся</w:t>
            </w:r>
            <w:proofErr w:type="spellEnd"/>
            <w:r w:rsidRPr="00092CA2">
              <w:rPr>
                <w:rFonts w:ascii="Times New Roman" w:eastAsia="Times New Roman" w:hAnsi="Times New Roman" w:cs="Times New Roman"/>
                <w:sz w:val="24"/>
                <w:szCs w:val="24"/>
                <w:lang w:eastAsia="ru-RU"/>
              </w:rPr>
              <w:t xml:space="preserve"> транспортных средств, их активной и пассивной безопасности</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235,737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1249,613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организации движения транспортных средств и пешеходов и повышение безопасности дорожных условий</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29310,907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8235,497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87,933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7208,638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938,926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20577,125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17762,409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2814,716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498,285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298,662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199,623 </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Развитие системы оказания помощи пострадавшим в дорожно-</w:t>
            </w:r>
            <w:r w:rsidRPr="00092CA2">
              <w:rPr>
                <w:rFonts w:ascii="Times New Roman" w:eastAsia="Times New Roman" w:hAnsi="Times New Roman" w:cs="Times New Roman"/>
                <w:sz w:val="24"/>
                <w:szCs w:val="24"/>
                <w:lang w:eastAsia="ru-RU"/>
              </w:rPr>
              <w:br/>
              <w:t>транспортных происшествиях</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16932,99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4862,629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162,196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3153,244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1547,189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11782,5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6671,598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5110,902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287,861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84,665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203,196 </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roofErr w:type="gramStart"/>
            <w:r w:rsidRPr="00092CA2">
              <w:rPr>
                <w:rFonts w:ascii="Times New Roman" w:eastAsia="Times New Roman" w:hAnsi="Times New Roman" w:cs="Times New Roman"/>
                <w:sz w:val="24"/>
                <w:szCs w:val="24"/>
                <w:lang w:eastAsia="ru-RU"/>
              </w:rPr>
              <w:t>Совершенство-</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вание</w:t>
            </w:r>
            <w:proofErr w:type="spellEnd"/>
            <w:proofErr w:type="gramEnd"/>
            <w:r w:rsidRPr="00092CA2">
              <w:rPr>
                <w:rFonts w:ascii="Times New Roman" w:eastAsia="Times New Roman" w:hAnsi="Times New Roman" w:cs="Times New Roman"/>
                <w:sz w:val="24"/>
                <w:szCs w:val="24"/>
                <w:lang w:eastAsia="ru-RU"/>
              </w:rPr>
              <w:t xml:space="preserve"> нормативно-</w:t>
            </w:r>
            <w:r w:rsidRPr="00092CA2">
              <w:rPr>
                <w:rFonts w:ascii="Times New Roman" w:eastAsia="Times New Roman" w:hAnsi="Times New Roman" w:cs="Times New Roman"/>
                <w:sz w:val="24"/>
                <w:szCs w:val="24"/>
                <w:lang w:eastAsia="ru-RU"/>
              </w:rPr>
              <w:br/>
              <w:t xml:space="preserve">правового, </w:t>
            </w:r>
            <w:proofErr w:type="spellStart"/>
            <w:r w:rsidRPr="00092CA2">
              <w:rPr>
                <w:rFonts w:ascii="Times New Roman" w:eastAsia="Times New Roman" w:hAnsi="Times New Roman" w:cs="Times New Roman"/>
                <w:sz w:val="24"/>
                <w:szCs w:val="24"/>
                <w:lang w:eastAsia="ru-RU"/>
              </w:rPr>
              <w:t>организацион</w:t>
            </w:r>
            <w:proofErr w:type="spellEnd"/>
            <w:r w:rsidRPr="00092CA2">
              <w:rPr>
                <w:rFonts w:ascii="Times New Roman" w:eastAsia="Times New Roman" w:hAnsi="Times New Roman" w:cs="Times New Roman"/>
                <w:sz w:val="24"/>
                <w:szCs w:val="24"/>
                <w:lang w:eastAsia="ru-RU"/>
              </w:rPr>
              <w:t>-</w:t>
            </w:r>
            <w:r w:rsidRPr="00092CA2">
              <w:rPr>
                <w:rFonts w:ascii="Times New Roman" w:eastAsia="Times New Roman" w:hAnsi="Times New Roman" w:cs="Times New Roman"/>
                <w:sz w:val="24"/>
                <w:szCs w:val="24"/>
                <w:lang w:eastAsia="ru-RU"/>
              </w:rPr>
              <w:br/>
            </w:r>
            <w:proofErr w:type="spellStart"/>
            <w:r w:rsidRPr="00092CA2">
              <w:rPr>
                <w:rFonts w:ascii="Times New Roman" w:eastAsia="Times New Roman" w:hAnsi="Times New Roman" w:cs="Times New Roman"/>
                <w:sz w:val="24"/>
                <w:szCs w:val="24"/>
                <w:lang w:eastAsia="ru-RU"/>
              </w:rPr>
              <w:t>ного</w:t>
            </w:r>
            <w:proofErr w:type="spellEnd"/>
            <w:r w:rsidRPr="00092CA2">
              <w:rPr>
                <w:rFonts w:ascii="Times New Roman" w:eastAsia="Times New Roman" w:hAnsi="Times New Roman" w:cs="Times New Roman"/>
                <w:sz w:val="24"/>
                <w:szCs w:val="24"/>
                <w:lang w:eastAsia="ru-RU"/>
              </w:rPr>
              <w:t xml:space="preserve"> и методического обеспечения деятельности в сфере обеспечения безопасности дорожного движения</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1485,35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678,022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363,491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314,531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807,328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807,328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r>
      <w:tr w:rsidR="00795C01" w:rsidRPr="00092CA2" w:rsidTr="005F46D5">
        <w:trPr>
          <w:tblCellSpacing w:w="15" w:type="dxa"/>
        </w:trPr>
        <w:tc>
          <w:tcPr>
            <w:tcW w:w="34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1063,607 </w:t>
            </w:r>
          </w:p>
        </w:tc>
        <w:tc>
          <w:tcPr>
            <w:tcW w:w="407"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21424,105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6732,288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47708,955 </w:t>
            </w:r>
          </w:p>
        </w:tc>
        <w:tc>
          <w:tcPr>
            <w:tcW w:w="406"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20471,045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05"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w:t>
            </w:r>
          </w:p>
        </w:tc>
        <w:tc>
          <w:tcPr>
            <w:tcW w:w="329"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368"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r>
    </w:tbl>
    <w:p w:rsidR="005F46D5" w:rsidRDefault="00795C01" w:rsidP="005F46D5">
      <w:pPr>
        <w:spacing w:after="0" w:line="240" w:lineRule="auto"/>
        <w:ind w:left="-426"/>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 xml:space="preserve">Приложение N 3. Предельные (прогнозные) объемы финансирования федеральной целевой программы "Повышение безопасности дорожного движения в 2013-2020 годах" </w:t>
      </w:r>
    </w:p>
    <w:p w:rsidR="00795C01" w:rsidRPr="00092CA2" w:rsidRDefault="00795C01" w:rsidP="005F46D5">
      <w:pPr>
        <w:spacing w:after="0" w:line="240" w:lineRule="auto"/>
        <w:ind w:left="-426"/>
        <w:outlineLvl w:val="2"/>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за счет средств федерального бюджета, бюджетов субъектов Российской Федерации и иных источников ...</w:t>
      </w:r>
    </w:p>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Приложение N 3</w:t>
      </w:r>
      <w:r w:rsidRPr="00092CA2">
        <w:rPr>
          <w:rFonts w:ascii="Times New Roman" w:eastAsia="Times New Roman" w:hAnsi="Times New Roman" w:cs="Times New Roman"/>
          <w:sz w:val="24"/>
          <w:szCs w:val="24"/>
          <w:lang w:eastAsia="ru-RU"/>
        </w:rPr>
        <w:br/>
        <w:t>к Концепции федеральной целевой</w:t>
      </w:r>
      <w:r w:rsidRPr="00092CA2">
        <w:rPr>
          <w:rFonts w:ascii="Times New Roman" w:eastAsia="Times New Roman" w:hAnsi="Times New Roman" w:cs="Times New Roman"/>
          <w:sz w:val="24"/>
          <w:szCs w:val="24"/>
          <w:lang w:eastAsia="ru-RU"/>
        </w:rPr>
        <w:br/>
        <w:t>программы "Повышение безопасности</w:t>
      </w:r>
      <w:r w:rsidRPr="00092CA2">
        <w:rPr>
          <w:rFonts w:ascii="Times New Roman" w:eastAsia="Times New Roman" w:hAnsi="Times New Roman" w:cs="Times New Roman"/>
          <w:sz w:val="24"/>
          <w:szCs w:val="24"/>
          <w:lang w:eastAsia="ru-RU"/>
        </w:rPr>
        <w:br/>
        <w:t>дорожного движения в 2013-2020 годах"</w:t>
      </w:r>
    </w:p>
    <w:p w:rsidR="005F46D5" w:rsidRDefault="005F46D5" w:rsidP="00261615">
      <w:pPr>
        <w:spacing w:after="0" w:line="240" w:lineRule="auto"/>
        <w:jc w:val="center"/>
        <w:rPr>
          <w:rFonts w:ascii="Times New Roman" w:eastAsia="Times New Roman" w:hAnsi="Times New Roman" w:cs="Times New Roman"/>
          <w:sz w:val="24"/>
          <w:szCs w:val="24"/>
          <w:lang w:eastAsia="ru-RU"/>
        </w:rPr>
      </w:pPr>
    </w:p>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Предельные (прогнозные) объемы финансирования федеральной целевой программы "Повышение безопасности дорожного движения в 2013-2020 годах" за счет средств федерального бюджета, бюджетов субъектов Российской Федерации и иных источников по годам  </w:t>
      </w:r>
    </w:p>
    <w:p w:rsidR="00795C01" w:rsidRPr="00092CA2" w:rsidRDefault="00795C01" w:rsidP="00261615">
      <w:pPr>
        <w:spacing w:after="0" w:line="240" w:lineRule="auto"/>
        <w:rPr>
          <w:rFonts w:ascii="Times New Roman" w:eastAsia="Times New Roman" w:hAnsi="Times New Roman" w:cs="Times New Roman"/>
          <w:sz w:val="24"/>
          <w:szCs w:val="24"/>
          <w:lang w:eastAsia="ru-RU"/>
        </w:rPr>
      </w:pPr>
    </w:p>
    <w:tbl>
      <w:tblPr>
        <w:tblW w:w="5531" w:type="pct"/>
        <w:tblCellSpacing w:w="15" w:type="dxa"/>
        <w:tblInd w:w="-851" w:type="dxa"/>
        <w:tblCellMar>
          <w:top w:w="15" w:type="dxa"/>
          <w:left w:w="15" w:type="dxa"/>
          <w:bottom w:w="15" w:type="dxa"/>
          <w:right w:w="15" w:type="dxa"/>
        </w:tblCellMar>
        <w:tblLook w:val="04A0" w:firstRow="1" w:lastRow="0" w:firstColumn="1" w:lastColumn="0" w:noHBand="0" w:noVBand="1"/>
      </w:tblPr>
      <w:tblGrid>
        <w:gridCol w:w="2299"/>
        <w:gridCol w:w="1515"/>
        <w:gridCol w:w="1194"/>
        <w:gridCol w:w="1352"/>
        <w:gridCol w:w="1194"/>
        <w:gridCol w:w="2795"/>
      </w:tblGrid>
      <w:tr w:rsidR="00795C01" w:rsidRPr="00092CA2" w:rsidTr="005F46D5">
        <w:trPr>
          <w:trHeight w:val="15"/>
          <w:tblCellSpacing w:w="15" w:type="dxa"/>
        </w:trPr>
        <w:tc>
          <w:tcPr>
            <w:tcW w:w="110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2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71"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48"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71"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75"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4971" w:type="pct"/>
            <w:gridSpan w:val="6"/>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right"/>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(млн. рублей)</w:t>
            </w:r>
          </w:p>
        </w:tc>
      </w:tr>
      <w:tr w:rsidR="00795C01" w:rsidRPr="00092CA2" w:rsidTr="005F46D5">
        <w:trPr>
          <w:tblCellSpacing w:w="15" w:type="dxa"/>
        </w:trPr>
        <w:tc>
          <w:tcPr>
            <w:tcW w:w="1105" w:type="pct"/>
            <w:tcBorders>
              <w:top w:val="single" w:sz="6" w:space="0" w:color="000000"/>
              <w:left w:val="nil"/>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Источник </w:t>
            </w:r>
          </w:p>
        </w:tc>
        <w:tc>
          <w:tcPr>
            <w:tcW w:w="728" w:type="pct"/>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2013-2020 </w:t>
            </w:r>
          </w:p>
        </w:tc>
        <w:tc>
          <w:tcPr>
            <w:tcW w:w="3109" w:type="pct"/>
            <w:gridSpan w:val="4"/>
            <w:tcBorders>
              <w:top w:val="single" w:sz="6" w:space="0" w:color="000000"/>
              <w:left w:val="single" w:sz="6" w:space="0" w:color="000000"/>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 том числе </w:t>
            </w:r>
          </w:p>
        </w:tc>
      </w:tr>
      <w:tr w:rsidR="00795C01" w:rsidRPr="00092CA2" w:rsidTr="005F46D5">
        <w:trPr>
          <w:tblCellSpacing w:w="15" w:type="dxa"/>
        </w:trPr>
        <w:tc>
          <w:tcPr>
            <w:tcW w:w="1105" w:type="pct"/>
            <w:tcBorders>
              <w:top w:val="nil"/>
              <w:left w:val="nil"/>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финансирования </w:t>
            </w:r>
          </w:p>
        </w:tc>
        <w:tc>
          <w:tcPr>
            <w:tcW w:w="728" w:type="pct"/>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годы - всего </w:t>
            </w:r>
          </w:p>
        </w:tc>
        <w:tc>
          <w:tcPr>
            <w:tcW w:w="571" w:type="pct"/>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2013 год </w:t>
            </w:r>
          </w:p>
        </w:tc>
        <w:tc>
          <w:tcPr>
            <w:tcW w:w="648" w:type="pct"/>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2014 год </w:t>
            </w:r>
          </w:p>
        </w:tc>
        <w:tc>
          <w:tcPr>
            <w:tcW w:w="571" w:type="pct"/>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2015 год </w:t>
            </w:r>
          </w:p>
        </w:tc>
        <w:tc>
          <w:tcPr>
            <w:tcW w:w="1275" w:type="pct"/>
            <w:tcBorders>
              <w:top w:val="single" w:sz="6" w:space="0" w:color="000000"/>
              <w:left w:val="single" w:sz="6" w:space="0" w:color="000000"/>
              <w:bottom w:val="single" w:sz="6" w:space="0" w:color="000000"/>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2016-2020 годы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Первый вариант</w:t>
      </w:r>
    </w:p>
    <w:tbl>
      <w:tblPr>
        <w:tblW w:w="10349" w:type="dxa"/>
        <w:tblCellSpacing w:w="15" w:type="dxa"/>
        <w:tblInd w:w="-851" w:type="dxa"/>
        <w:tblCellMar>
          <w:top w:w="15" w:type="dxa"/>
          <w:left w:w="15" w:type="dxa"/>
          <w:bottom w:w="15" w:type="dxa"/>
          <w:right w:w="15" w:type="dxa"/>
        </w:tblCellMar>
        <w:tblLook w:val="04A0" w:firstRow="1" w:lastRow="0" w:firstColumn="1" w:lastColumn="0" w:noHBand="0" w:noVBand="1"/>
      </w:tblPr>
      <w:tblGrid>
        <w:gridCol w:w="2305"/>
        <w:gridCol w:w="1593"/>
        <w:gridCol w:w="1275"/>
        <w:gridCol w:w="1422"/>
        <w:gridCol w:w="1299"/>
        <w:gridCol w:w="2455"/>
      </w:tblGrid>
      <w:tr w:rsidR="00795C01" w:rsidRPr="00092CA2" w:rsidTr="005F46D5">
        <w:trPr>
          <w:trHeight w:val="15"/>
          <w:tblCellSpacing w:w="15" w:type="dxa"/>
        </w:trPr>
        <w:tc>
          <w:tcPr>
            <w:tcW w:w="2260"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563"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45"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392"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69"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2410" w:type="dxa"/>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289" w:type="dxa"/>
            <w:gridSpan w:val="6"/>
            <w:tcBorders>
              <w:top w:val="single" w:sz="6" w:space="0" w:color="000000"/>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Федеральный бюджет - всего </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48700 (48700)*</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4498,4 (2000)</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4900,7 (2000)</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5341,763 (2000)</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33959,137 (42700)</w:t>
            </w:r>
          </w:p>
        </w:tc>
      </w:tr>
      <w:tr w:rsidR="00795C01" w:rsidRPr="00092CA2" w:rsidTr="005F46D5">
        <w:trPr>
          <w:tblCellSpacing w:w="15" w:type="dxa"/>
        </w:trPr>
        <w:tc>
          <w:tcPr>
            <w:tcW w:w="10289" w:type="dxa"/>
            <w:gridSpan w:val="6"/>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_______________</w:t>
            </w:r>
          </w:p>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Здесь и далее в скобках указаны средства в соответствии с проектом федерального бюджета на 2013 год и на плановый период 2014 и 2015 годов.</w:t>
            </w:r>
            <w:r w:rsidRPr="00092CA2">
              <w:rPr>
                <w:rFonts w:ascii="Times New Roman" w:eastAsia="Times New Roman" w:hAnsi="Times New Roman" w:cs="Times New Roman"/>
                <w:sz w:val="24"/>
                <w:szCs w:val="24"/>
                <w:lang w:eastAsia="ru-RU"/>
              </w:rPr>
              <w:br/>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1938,635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493,658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411,304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448,321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585,352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35245,12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2025,019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3194,232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3481,712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26544,157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11516,245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1979,723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1295,164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1411,73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6829,628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48700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3068,222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5064,556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5520,366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35046,856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34077,825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2044,67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3748,56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4085,93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24198,665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14622,175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1023,552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1315,996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1434,436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10848,191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136,157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1370,388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49,016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513,761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87,141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856,627 </w:t>
            </w:r>
          </w:p>
        </w:tc>
      </w:tr>
      <w:tr w:rsidR="00795C01" w:rsidRPr="00092CA2" w:rsidTr="005F46D5">
        <w:trPr>
          <w:tblCellSpacing w:w="15" w:type="dxa"/>
        </w:trPr>
        <w:tc>
          <w:tcPr>
            <w:tcW w:w="226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1563"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1245"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7593,226 </w:t>
            </w:r>
          </w:p>
        </w:tc>
        <w:tc>
          <w:tcPr>
            <w:tcW w:w="1392"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10055,44 </w:t>
            </w:r>
          </w:p>
        </w:tc>
        <w:tc>
          <w:tcPr>
            <w:tcW w:w="1269"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10998,286 </w:t>
            </w:r>
          </w:p>
        </w:tc>
        <w:tc>
          <w:tcPr>
            <w:tcW w:w="2410" w:type="dxa"/>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70376,381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Второй вариант</w:t>
      </w:r>
    </w:p>
    <w:tbl>
      <w:tblPr>
        <w:tblW w:w="5531" w:type="pct"/>
        <w:tblCellSpacing w:w="15" w:type="dxa"/>
        <w:tblInd w:w="-851" w:type="dxa"/>
        <w:tblCellMar>
          <w:top w:w="15" w:type="dxa"/>
          <w:left w:w="15" w:type="dxa"/>
          <w:bottom w:w="15" w:type="dxa"/>
          <w:right w:w="15" w:type="dxa"/>
        </w:tblCellMar>
        <w:tblLook w:val="04A0" w:firstRow="1" w:lastRow="0" w:firstColumn="1" w:lastColumn="0" w:noHBand="0" w:noVBand="1"/>
      </w:tblPr>
      <w:tblGrid>
        <w:gridCol w:w="2216"/>
        <w:gridCol w:w="1525"/>
        <w:gridCol w:w="1217"/>
        <w:gridCol w:w="1362"/>
        <w:gridCol w:w="1216"/>
        <w:gridCol w:w="2813"/>
      </w:tblGrid>
      <w:tr w:rsidR="00795C01" w:rsidRPr="00092CA2" w:rsidTr="005F46D5">
        <w:trPr>
          <w:trHeight w:val="15"/>
          <w:tblCellSpacing w:w="15" w:type="dxa"/>
        </w:trPr>
        <w:tc>
          <w:tcPr>
            <w:tcW w:w="106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3"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4971" w:type="pct"/>
            <w:gridSpan w:val="6"/>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Федеральный бюджет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4969,913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4777,946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5297,254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53134,887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2481,753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521,168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421,898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130,788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1407,899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49989,576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2249,531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3099,354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3705,06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40935,631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15708,671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2199,214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1256,694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1461,405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10791,358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1840,933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3038,734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1947,227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22393,106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20446,695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1226,802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2249,136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1357,661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15613,096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8773,305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614,131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789,598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589,566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6780,01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152,472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1354,073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67,533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495,244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84,939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858,829 </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6837,45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7906,864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7396,953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76882,066 </w:t>
            </w:r>
          </w:p>
        </w:tc>
      </w:tr>
    </w:tbl>
    <w:p w:rsidR="00795C01" w:rsidRPr="00092CA2" w:rsidRDefault="00795C01" w:rsidP="00261615">
      <w:pPr>
        <w:spacing w:after="0" w:line="240" w:lineRule="auto"/>
        <w:outlineLvl w:val="3"/>
        <w:rPr>
          <w:rFonts w:ascii="Times New Roman" w:eastAsia="Times New Roman" w:hAnsi="Times New Roman" w:cs="Times New Roman"/>
          <w:b/>
          <w:bCs/>
          <w:sz w:val="24"/>
          <w:szCs w:val="24"/>
          <w:lang w:eastAsia="ru-RU"/>
        </w:rPr>
      </w:pPr>
      <w:r w:rsidRPr="00092CA2">
        <w:rPr>
          <w:rFonts w:ascii="Times New Roman" w:eastAsia="Times New Roman" w:hAnsi="Times New Roman" w:cs="Times New Roman"/>
          <w:b/>
          <w:bCs/>
          <w:sz w:val="24"/>
          <w:szCs w:val="24"/>
          <w:lang w:eastAsia="ru-RU"/>
        </w:rPr>
        <w:t>Третий вариант</w:t>
      </w:r>
    </w:p>
    <w:tbl>
      <w:tblPr>
        <w:tblW w:w="5531" w:type="pct"/>
        <w:tblCellSpacing w:w="15" w:type="dxa"/>
        <w:tblInd w:w="-851" w:type="dxa"/>
        <w:tblCellMar>
          <w:top w:w="15" w:type="dxa"/>
          <w:left w:w="15" w:type="dxa"/>
          <w:bottom w:w="15" w:type="dxa"/>
          <w:right w:w="15" w:type="dxa"/>
        </w:tblCellMar>
        <w:tblLook w:val="04A0" w:firstRow="1" w:lastRow="0" w:firstColumn="1" w:lastColumn="0" w:noHBand="0" w:noVBand="1"/>
      </w:tblPr>
      <w:tblGrid>
        <w:gridCol w:w="2216"/>
        <w:gridCol w:w="1525"/>
        <w:gridCol w:w="1217"/>
        <w:gridCol w:w="1362"/>
        <w:gridCol w:w="1216"/>
        <w:gridCol w:w="2813"/>
      </w:tblGrid>
      <w:tr w:rsidR="00795C01" w:rsidRPr="00092CA2" w:rsidTr="005F46D5">
        <w:trPr>
          <w:trHeight w:val="15"/>
          <w:tblCellSpacing w:w="15" w:type="dxa"/>
        </w:trPr>
        <w:tc>
          <w:tcPr>
            <w:tcW w:w="106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733"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vAlign w:val="cente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4971" w:type="pct"/>
            <w:gridSpan w:val="6"/>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Федеральный бюджет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29220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2129,963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2047,691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2270,252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22772,094</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НИОКР</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1063,607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223,358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180,813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56,052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603,384</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21424,105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964,085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1328,295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1587,883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17543,842</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6732,288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942,52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538,583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626,317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4624,868</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Бюджеты субъектов Российской Федерации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68180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4295,511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7090,38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4543,529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52250,58</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47708,955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2862,538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5247,986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3167,875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36430,556</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20471,045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1432,973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1842,394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1375,654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15820,024</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Средства внебюджетных источников - всего</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1623,333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26,604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90,184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152,472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1354,073</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в том числе:</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капитальные вложения</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586,226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5,862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17,587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67,533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495,244</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прочие нужды</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1037,107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20,742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72,597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84,939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858,829</w:t>
            </w:r>
          </w:p>
        </w:tc>
      </w:tr>
      <w:tr w:rsidR="00795C01" w:rsidRPr="00092CA2" w:rsidTr="005F46D5">
        <w:trPr>
          <w:tblCellSpacing w:w="15" w:type="dxa"/>
        </w:trPr>
        <w:tc>
          <w:tcPr>
            <w:tcW w:w="106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Всего </w:t>
            </w:r>
          </w:p>
        </w:tc>
        <w:tc>
          <w:tcPr>
            <w:tcW w:w="73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99023,333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6452,078 </w:t>
            </w:r>
          </w:p>
        </w:tc>
        <w:tc>
          <w:tcPr>
            <w:tcW w:w="653"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9228,255 </w:t>
            </w:r>
          </w:p>
        </w:tc>
        <w:tc>
          <w:tcPr>
            <w:tcW w:w="582"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6966,253 </w:t>
            </w:r>
          </w:p>
        </w:tc>
        <w:tc>
          <w:tcPr>
            <w:tcW w:w="1284" w:type="pct"/>
            <w:tcBorders>
              <w:top w:val="nil"/>
              <w:left w:val="nil"/>
              <w:bottom w:val="nil"/>
              <w:right w:val="nil"/>
            </w:tcBorders>
            <w:tcMar>
              <w:top w:w="15" w:type="dxa"/>
              <w:left w:w="74" w:type="dxa"/>
              <w:bottom w:w="15" w:type="dxa"/>
              <w:right w:w="74" w:type="dxa"/>
            </w:tcMar>
            <w:hideMark/>
          </w:tcPr>
          <w:p w:rsidR="00795C01" w:rsidRPr="00092CA2" w:rsidRDefault="00795C01" w:rsidP="00261615">
            <w:pPr>
              <w:spacing w:after="0" w:line="240" w:lineRule="auto"/>
              <w:jc w:val="center"/>
              <w:rPr>
                <w:rFonts w:ascii="Times New Roman" w:eastAsia="Times New Roman" w:hAnsi="Times New Roman" w:cs="Times New Roman"/>
                <w:sz w:val="24"/>
                <w:szCs w:val="24"/>
                <w:lang w:eastAsia="ru-RU"/>
              </w:rPr>
            </w:pPr>
            <w:r w:rsidRPr="00092CA2">
              <w:rPr>
                <w:rFonts w:ascii="Times New Roman" w:eastAsia="Times New Roman" w:hAnsi="Times New Roman" w:cs="Times New Roman"/>
                <w:sz w:val="24"/>
                <w:szCs w:val="24"/>
                <w:lang w:eastAsia="ru-RU"/>
              </w:rPr>
              <w:t xml:space="preserve">76376,747 </w:t>
            </w:r>
          </w:p>
        </w:tc>
      </w:tr>
    </w:tbl>
    <w:p w:rsidR="00795C01" w:rsidRPr="00092CA2" w:rsidRDefault="00795C01" w:rsidP="00BF5543">
      <w:pPr>
        <w:spacing w:after="0" w:line="240" w:lineRule="auto"/>
        <w:rPr>
          <w:rFonts w:ascii="Times New Roman" w:eastAsia="Times New Roman" w:hAnsi="Times New Roman" w:cs="Times New Roman"/>
          <w:sz w:val="24"/>
          <w:szCs w:val="24"/>
          <w:lang w:eastAsia="ru-RU"/>
        </w:rPr>
      </w:pPr>
      <w:bookmarkStart w:id="0" w:name="_GoBack"/>
      <w:bookmarkEnd w:id="0"/>
    </w:p>
    <w:sectPr w:rsidR="00795C01" w:rsidRPr="00092CA2" w:rsidSect="0002654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D280E"/>
    <w:multiLevelType w:val="multilevel"/>
    <w:tmpl w:val="DC8A3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05166"/>
    <w:multiLevelType w:val="multilevel"/>
    <w:tmpl w:val="FDB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D4759"/>
    <w:multiLevelType w:val="multilevel"/>
    <w:tmpl w:val="CCB4B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8541A"/>
    <w:multiLevelType w:val="multilevel"/>
    <w:tmpl w:val="6DE4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A10EF"/>
    <w:multiLevelType w:val="multilevel"/>
    <w:tmpl w:val="8FE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4F429A"/>
    <w:multiLevelType w:val="multilevel"/>
    <w:tmpl w:val="A010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510EB"/>
    <w:multiLevelType w:val="multilevel"/>
    <w:tmpl w:val="5B50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97E74"/>
    <w:multiLevelType w:val="multilevel"/>
    <w:tmpl w:val="0AC6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B06F8"/>
    <w:multiLevelType w:val="hybridMultilevel"/>
    <w:tmpl w:val="E53E1C0E"/>
    <w:lvl w:ilvl="0" w:tplc="475622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EB5BBD"/>
    <w:multiLevelType w:val="multilevel"/>
    <w:tmpl w:val="67A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9348A5"/>
    <w:multiLevelType w:val="multilevel"/>
    <w:tmpl w:val="3860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A9078F"/>
    <w:multiLevelType w:val="multilevel"/>
    <w:tmpl w:val="69B2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513069"/>
    <w:multiLevelType w:val="multilevel"/>
    <w:tmpl w:val="E16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840421"/>
    <w:multiLevelType w:val="multilevel"/>
    <w:tmpl w:val="2E0A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11"/>
  </w:num>
  <w:num w:numId="5">
    <w:abstractNumId w:val="0"/>
  </w:num>
  <w:num w:numId="6">
    <w:abstractNumId w:val="4"/>
  </w:num>
  <w:num w:numId="7">
    <w:abstractNumId w:val="12"/>
  </w:num>
  <w:num w:numId="8">
    <w:abstractNumId w:val="6"/>
  </w:num>
  <w:num w:numId="9">
    <w:abstractNumId w:val="1"/>
  </w:num>
  <w:num w:numId="10">
    <w:abstractNumId w:val="2"/>
  </w:num>
  <w:num w:numId="11">
    <w:abstractNumId w:val="5"/>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EC"/>
    <w:rsid w:val="0002654D"/>
    <w:rsid w:val="00261615"/>
    <w:rsid w:val="003E2286"/>
    <w:rsid w:val="00501739"/>
    <w:rsid w:val="005F46D5"/>
    <w:rsid w:val="00744099"/>
    <w:rsid w:val="00795C01"/>
    <w:rsid w:val="00827B58"/>
    <w:rsid w:val="00BF5543"/>
    <w:rsid w:val="00C304A3"/>
    <w:rsid w:val="00C54FC9"/>
    <w:rsid w:val="00C917EC"/>
    <w:rsid w:val="00F8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551BE3A6-6BDB-4586-B66F-BC9CB77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01"/>
  </w:style>
  <w:style w:type="paragraph" w:styleId="1">
    <w:name w:val="heading 1"/>
    <w:basedOn w:val="a"/>
    <w:link w:val="10"/>
    <w:uiPriority w:val="9"/>
    <w:qFormat/>
    <w:rsid w:val="00795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5C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95C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5C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C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5C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95C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5C0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95C01"/>
    <w:rPr>
      <w:color w:val="0000FF"/>
      <w:u w:val="single"/>
    </w:rPr>
  </w:style>
  <w:style w:type="character" w:styleId="a4">
    <w:name w:val="FollowedHyperlink"/>
    <w:basedOn w:val="a0"/>
    <w:uiPriority w:val="99"/>
    <w:semiHidden/>
    <w:unhideWhenUsed/>
    <w:rsid w:val="00795C01"/>
    <w:rPr>
      <w:color w:val="800080"/>
      <w:u w:val="single"/>
    </w:rPr>
  </w:style>
  <w:style w:type="paragraph" w:styleId="z-">
    <w:name w:val="HTML Top of Form"/>
    <w:basedOn w:val="a"/>
    <w:next w:val="a"/>
    <w:link w:val="z-0"/>
    <w:hidden/>
    <w:uiPriority w:val="99"/>
    <w:semiHidden/>
    <w:unhideWhenUsed/>
    <w:rsid w:val="00795C0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95C0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95C0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95C01"/>
    <w:rPr>
      <w:rFonts w:ascii="Arial" w:eastAsia="Times New Roman" w:hAnsi="Arial" w:cs="Arial"/>
      <w:vanish/>
      <w:sz w:val="16"/>
      <w:szCs w:val="16"/>
      <w:lang w:eastAsia="ru-RU"/>
    </w:rPr>
  </w:style>
  <w:style w:type="character" w:customStyle="1" w:styleId="headernametx">
    <w:name w:val="header_name_tx"/>
    <w:basedOn w:val="a0"/>
    <w:rsid w:val="00795C01"/>
  </w:style>
  <w:style w:type="character" w:customStyle="1" w:styleId="info-title">
    <w:name w:val="info-title"/>
    <w:basedOn w:val="a0"/>
    <w:rsid w:val="00795C01"/>
  </w:style>
  <w:style w:type="paragraph" w:customStyle="1" w:styleId="formattext">
    <w:name w:val="formattext"/>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95C01"/>
  </w:style>
  <w:style w:type="paragraph" w:customStyle="1" w:styleId="copytitle">
    <w:name w:val="copytitle"/>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95C01"/>
    <w:rPr>
      <w:b/>
      <w:bCs/>
    </w:rPr>
  </w:style>
  <w:style w:type="paragraph" w:customStyle="1" w:styleId="copyright">
    <w:name w:val="copyright"/>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95C01"/>
  </w:style>
  <w:style w:type="paragraph" w:customStyle="1" w:styleId="cntd-apph">
    <w:name w:val="cntd-app_h"/>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795C01"/>
  </w:style>
  <w:style w:type="paragraph" w:customStyle="1" w:styleId="kodeks-apph">
    <w:name w:val="kodeks-app_h"/>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795C01"/>
  </w:style>
  <w:style w:type="character" w:customStyle="1" w:styleId="arr">
    <w:name w:val="arr"/>
    <w:basedOn w:val="a0"/>
    <w:rsid w:val="00795C01"/>
  </w:style>
  <w:style w:type="character" w:customStyle="1" w:styleId="message-text">
    <w:name w:val="message-text"/>
    <w:basedOn w:val="a0"/>
    <w:rsid w:val="00795C01"/>
  </w:style>
  <w:style w:type="paragraph" w:styleId="a7">
    <w:name w:val="List Paragraph"/>
    <w:basedOn w:val="a"/>
    <w:uiPriority w:val="34"/>
    <w:qFormat/>
    <w:rsid w:val="0002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268521" TargetMode="External"/><Relationship Id="rId18" Type="http://schemas.openxmlformats.org/officeDocument/2006/relationships/hyperlink" Target="http://docs.cntd.ru/document/901807416" TargetMode="External"/><Relationship Id="rId26" Type="http://schemas.openxmlformats.org/officeDocument/2006/relationships/hyperlink" Target="http://docs.cntd.ru/document/901969526" TargetMode="External"/><Relationship Id="rId39" Type="http://schemas.openxmlformats.org/officeDocument/2006/relationships/hyperlink" Target="http://docs.cntd.ru/document/901969526" TargetMode="External"/><Relationship Id="rId3" Type="http://schemas.openxmlformats.org/officeDocument/2006/relationships/styles" Target="styles.xml"/><Relationship Id="rId21" Type="http://schemas.openxmlformats.org/officeDocument/2006/relationships/hyperlink" Target="http://docs.cntd.ru/document/902132678" TargetMode="External"/><Relationship Id="rId34" Type="http://schemas.openxmlformats.org/officeDocument/2006/relationships/hyperlink" Target="http://docs.cntd.ru/document/901969526" TargetMode="External"/><Relationship Id="rId42" Type="http://schemas.openxmlformats.org/officeDocument/2006/relationships/hyperlink" Target="http://docs.cntd.ru/document/901969526" TargetMode="External"/><Relationship Id="rId47" Type="http://schemas.openxmlformats.org/officeDocument/2006/relationships/hyperlink" Target="http://docs.cntd.ru/document/9004835" TargetMode="External"/><Relationship Id="rId50" Type="http://schemas.openxmlformats.org/officeDocument/2006/relationships/theme" Target="theme/theme1.xml"/><Relationship Id="rId7" Type="http://schemas.openxmlformats.org/officeDocument/2006/relationships/hyperlink" Target="http://docs.cntd.ru/document/902130343" TargetMode="External"/><Relationship Id="rId12" Type="http://schemas.openxmlformats.org/officeDocument/2006/relationships/hyperlink" Target="http://docs.cntd.ru/document/902268521" TargetMode="External"/><Relationship Id="rId17" Type="http://schemas.openxmlformats.org/officeDocument/2006/relationships/hyperlink" Target="http://docs.cntd.ru/document/901807416" TargetMode="External"/><Relationship Id="rId25" Type="http://schemas.openxmlformats.org/officeDocument/2006/relationships/hyperlink" Target="http://docs.cntd.ru/document/901969526" TargetMode="External"/><Relationship Id="rId33" Type="http://schemas.openxmlformats.org/officeDocument/2006/relationships/hyperlink" Target="http://docs.cntd.ru/document/901969526" TargetMode="External"/><Relationship Id="rId38" Type="http://schemas.openxmlformats.org/officeDocument/2006/relationships/hyperlink" Target="http://docs.cntd.ru/document/901969526" TargetMode="External"/><Relationship Id="rId46" Type="http://schemas.openxmlformats.org/officeDocument/2006/relationships/hyperlink" Target="http://docs.cntd.ru/document/9004835" TargetMode="External"/><Relationship Id="rId2" Type="http://schemas.openxmlformats.org/officeDocument/2006/relationships/numbering" Target="numbering.xml"/><Relationship Id="rId16" Type="http://schemas.openxmlformats.org/officeDocument/2006/relationships/hyperlink" Target="http://docs.cntd.ru/document/901807416" TargetMode="External"/><Relationship Id="rId20" Type="http://schemas.openxmlformats.org/officeDocument/2006/relationships/hyperlink" Target="http://docs.cntd.ru/document/902132678" TargetMode="External"/><Relationship Id="rId29" Type="http://schemas.openxmlformats.org/officeDocument/2006/relationships/hyperlink" Target="http://docs.cntd.ru/document/901969526" TargetMode="External"/><Relationship Id="rId41" Type="http://schemas.openxmlformats.org/officeDocument/2006/relationships/hyperlink" Target="http://docs.cntd.ru/document/901969526" TargetMode="External"/><Relationship Id="rId1" Type="http://schemas.openxmlformats.org/officeDocument/2006/relationships/customXml" Target="../customXml/item1.xml"/><Relationship Id="rId6" Type="http://schemas.openxmlformats.org/officeDocument/2006/relationships/hyperlink" Target="http://docs.cntd.ru/document/902130343" TargetMode="External"/><Relationship Id="rId11" Type="http://schemas.openxmlformats.org/officeDocument/2006/relationships/hyperlink" Target="http://docs.cntd.ru/document/902266565" TargetMode="External"/><Relationship Id="rId24" Type="http://schemas.openxmlformats.org/officeDocument/2006/relationships/hyperlink" Target="http://docs.cntd.ru/document/901969526" TargetMode="External"/><Relationship Id="rId32" Type="http://schemas.openxmlformats.org/officeDocument/2006/relationships/hyperlink" Target="http://docs.cntd.ru/document/901969526" TargetMode="External"/><Relationship Id="rId37" Type="http://schemas.openxmlformats.org/officeDocument/2006/relationships/hyperlink" Target="http://docs.cntd.ru/document/9004835" TargetMode="External"/><Relationship Id="rId40" Type="http://schemas.openxmlformats.org/officeDocument/2006/relationships/hyperlink" Target="http://docs.cntd.ru/document/901969526" TargetMode="External"/><Relationship Id="rId45" Type="http://schemas.openxmlformats.org/officeDocument/2006/relationships/hyperlink" Target="http://docs.cntd.ru/document/901969526" TargetMode="External"/><Relationship Id="rId5" Type="http://schemas.openxmlformats.org/officeDocument/2006/relationships/webSettings" Target="webSettings.xml"/><Relationship Id="rId15" Type="http://schemas.openxmlformats.org/officeDocument/2006/relationships/hyperlink" Target="http://docs.cntd.ru/document/901807416" TargetMode="External"/><Relationship Id="rId23" Type="http://schemas.openxmlformats.org/officeDocument/2006/relationships/hyperlink" Target="http://docs.cntd.ru/document/901969526" TargetMode="External"/><Relationship Id="rId28" Type="http://schemas.openxmlformats.org/officeDocument/2006/relationships/hyperlink" Target="http://docs.cntd.ru/document/901969526" TargetMode="External"/><Relationship Id="rId36" Type="http://schemas.openxmlformats.org/officeDocument/2006/relationships/hyperlink" Target="http://docs.cntd.ru/document/9004835" TargetMode="External"/><Relationship Id="rId49" Type="http://schemas.openxmlformats.org/officeDocument/2006/relationships/fontTable" Target="fontTable.xml"/><Relationship Id="rId10" Type="http://schemas.openxmlformats.org/officeDocument/2006/relationships/hyperlink" Target="http://docs.cntd.ru/document/902266565" TargetMode="External"/><Relationship Id="rId19" Type="http://schemas.openxmlformats.org/officeDocument/2006/relationships/hyperlink" Target="http://docs.cntd.ru/document/902130343" TargetMode="External"/><Relationship Id="rId31" Type="http://schemas.openxmlformats.org/officeDocument/2006/relationships/hyperlink" Target="http://docs.cntd.ru/document/901969526" TargetMode="External"/><Relationship Id="rId44" Type="http://schemas.openxmlformats.org/officeDocument/2006/relationships/hyperlink" Target="http://docs.cntd.ru/document/901969526" TargetMode="External"/><Relationship Id="rId4" Type="http://schemas.openxmlformats.org/officeDocument/2006/relationships/settings" Target="settings.xml"/><Relationship Id="rId9" Type="http://schemas.openxmlformats.org/officeDocument/2006/relationships/hyperlink" Target="http://docs.cntd.ru/document/902064587" TargetMode="External"/><Relationship Id="rId14" Type="http://schemas.openxmlformats.org/officeDocument/2006/relationships/hyperlink" Target="http://docs.cntd.ru/document/902268521" TargetMode="External"/><Relationship Id="rId22" Type="http://schemas.openxmlformats.org/officeDocument/2006/relationships/hyperlink" Target="http://docs.cntd.ru/document/901969526" TargetMode="External"/><Relationship Id="rId27" Type="http://schemas.openxmlformats.org/officeDocument/2006/relationships/hyperlink" Target="http://docs.cntd.ru/document/901969526" TargetMode="External"/><Relationship Id="rId30" Type="http://schemas.openxmlformats.org/officeDocument/2006/relationships/hyperlink" Target="http://docs.cntd.ru/document/901969526" TargetMode="External"/><Relationship Id="rId35" Type="http://schemas.openxmlformats.org/officeDocument/2006/relationships/hyperlink" Target="http://docs.cntd.ru/document/9004835" TargetMode="External"/><Relationship Id="rId43" Type="http://schemas.openxmlformats.org/officeDocument/2006/relationships/hyperlink" Target="http://docs.cntd.ru/document/901969526" TargetMode="External"/><Relationship Id="rId48" Type="http://schemas.openxmlformats.org/officeDocument/2006/relationships/hyperlink" Target="http://docs.cntd.ru/document/9029321" TargetMode="External"/><Relationship Id="rId8" Type="http://schemas.openxmlformats.org/officeDocument/2006/relationships/hyperlink" Target="http://docs.cntd.ru/document/902064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D256-4C5A-4D81-AF6F-1B8D9D4B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42</Pages>
  <Words>13105</Words>
  <Characters>74703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Румянцева</dc:creator>
  <cp:keywords/>
  <dc:description/>
  <cp:lastModifiedBy>Римма Румянцева</cp:lastModifiedBy>
  <cp:revision>5</cp:revision>
  <dcterms:created xsi:type="dcterms:W3CDTF">2018-02-15T08:11:00Z</dcterms:created>
  <dcterms:modified xsi:type="dcterms:W3CDTF">2018-02-22T08:32:00Z</dcterms:modified>
</cp:coreProperties>
</file>